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C-02  |  PARCOURS OPÉRATIONNEL</w:t>
      </w:r>
    </w:p>
    <w:p>
      <w:pPr>
        <w:pStyle w:val="Title"/>
      </w:pPr>
      <w:r>
        <w:rPr>
          <w:rFonts w:ascii="Calibri" w:hAnsi="Calibri"/>
          <w:b/>
          <w:i w:val="0"/>
          <w:color w:val="24493D"/>
          <w:sz w:val="52"/>
        </w:rPr>
        <w:t>AIDE-MÉMOIRE</w:t>
      </w:r>
    </w:p>
    <w:p>
      <w:r>
        <w:rPr>
          <w:rFonts w:ascii="Calibri" w:hAnsi="Calibri"/>
          <w:b/>
          <w:i w:val="0"/>
          <w:color w:val="315F78"/>
          <w:sz w:val="26"/>
        </w:rPr>
        <w:t>Qualifier, lire, tracer et attester sans surpromettre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Format — </w:t>
            </w:r>
            <w:r>
              <w:rPr>
                <w:rFonts w:ascii="Calibri" w:hAnsi="Calibri"/>
                <w:b w:val="0"/>
                <w:i w:val="0"/>
                <w:color w:val="252A2C"/>
                <w:sz w:val="21"/>
              </w:rPr>
              <w:t>5 fiches opérationnelles | usage numérique ou imprimé</w:t>
            </w:r>
          </w:p>
        </w:tc>
      </w:tr>
    </w:tbl>
    <w:p>
      <w:pPr>
        <w:spacing w:after="20"/>
      </w:pPr>
    </w:p>
    <w:p>
      <w:pPr>
        <w:jc w:val="center"/>
      </w:pPr>
      <w:r>
        <w:drawing>
          <wp:inline xmlns:a="http://schemas.openxmlformats.org/drawingml/2006/main" xmlns:pic="http://schemas.openxmlformats.org/drawingml/2006/picture">
            <wp:extent cx="5623560" cy="3374136"/>
            <wp:docPr id="1" name="Picture 1" descr="Trois blocs à rapprocher : calcul, chantier et preuve. Le passage de relais final RÉGIME porte régime, échéance, géographie, indicateurs, millésime et éléments de preuve." title="Illustration originale IEB"/>
            <wp:cNvGraphicFramePr>
              <a:graphicFrameLocks noChangeAspect="1"/>
            </wp:cNvGraphicFramePr>
            <a:graphic>
              <a:graphicData uri="http://schemas.openxmlformats.org/drawingml/2006/picture">
                <pic:pic>
                  <pic:nvPicPr>
                    <pic:cNvPr id="0" name="ieb-asset-c02-000004__calcul-chantier-preuve__v0.1.0.png"/>
                    <pic:cNvPicPr/>
                  </pic:nvPicPr>
                  <pic:blipFill>
                    <a:blip r:embed="rId13"/>
                    <a:stretch>
                      <a:fillRect/>
                    </a:stretch>
                  </pic:blipFill>
                  <pic:spPr>
                    <a:xfrm>
                      <a:off x="0" y="0"/>
                      <a:ext cx="5623560" cy="3374136"/>
                    </a:xfrm>
                    <a:prstGeom prst="rect"/>
                  </pic:spPr>
                </pic:pic>
              </a:graphicData>
            </a:graphic>
          </wp:inline>
        </w:drawing>
      </w:r>
    </w:p>
    <w:p>
      <w:pPr>
        <w:spacing w:after="160"/>
        <w:jc w:val="center"/>
      </w:pPr>
      <w:r>
        <w:rPr>
          <w:rFonts w:ascii="Calibri" w:hAnsi="Calibri"/>
          <w:b w:val="0"/>
          <w:i/>
          <w:color w:val="59646A"/>
          <w:sz w:val="17"/>
        </w:rPr>
        <w:t>Trois blocs à rapprocher : calcul, chantier et preuve. Le passage de relais final RÉGIME porte régime, échéance, géographie, indicateurs, millésime et éléments de preuve.</w:t>
      </w:r>
    </w:p>
    <w:p>
      <w:r>
        <w:rPr>
          <w:rFonts w:ascii="Calibri" w:hAnsi="Calibri"/>
          <w:b w:val="0"/>
          <w:i/>
          <w:color w:val="252A2C"/>
          <w:sz w:val="22"/>
        </w:rPr>
        <w:t>Qualifier le régime, la date et les preuves avant de conclure ; rapprocher toujours le calcul, l'état exécuté et les pièces disponibles.</w:t>
      </w:r>
    </w:p>
    <w:p>
      <w:pPr>
        <w:pStyle w:val="Heading1"/>
        <w:pageBreakBefore/>
      </w:pPr>
      <w:r>
        <w:rPr>
          <w:rFonts w:ascii="Calibri" w:hAnsi="Calibri"/>
          <w:b/>
          <w:i w:val="0"/>
          <w:color w:val="24493D"/>
          <w:sz w:val="32"/>
        </w:rPr>
        <w:t>1 — Découper</w:t>
      </w:r>
    </w:p>
    <w:tbl>
      <w:tblPr>
        <w:tblStyle w:val="TableGrid"/>
        <w:jc w:val="center"/>
        <w:tblLook w:firstColumn="1" w:firstRow="1" w:lastColumn="0" w:lastRow="0" w:noHBand="0" w:noVBand="1" w:val="04A0"/>
        <w:tblW w:w="9360" w:type="dxa"/>
        <w:tblInd w:w="120" w:type="dxa"/>
        <w:tblLayout w:type="fixed"/>
      </w:tblPr>
      <w:tblGrid>
        <w:gridCol w:w="2592"/>
        <w:gridCol w:w="6768"/>
      </w:tblGrid>
      <w:tr>
        <w:trPr>
          <w:tblHeader w:val="true"/>
          <w:cantSplit w:val="true"/>
        </w:trPr>
        <w:tc>
          <w:tcPr>
            <w:tcW w:type="dxa" w:w="2592"/>
            <w:shd w:fill="24493D"/>
            <w:tcMar>
              <w:top w:w="80" w:type="dxa"/>
              <w:start w:w="120" w:type="dxa"/>
              <w:bottom w:w="80" w:type="dxa"/>
              <w:end w:w="120" w:type="dxa"/>
            </w:tcMar>
            <w:vAlign w:val="center"/>
          </w:tcPr>
          <w:p>
            <w:pPr>
              <w:spacing w:after="0"/>
            </w:pPr>
            <w:r>
              <w:rPr>
                <w:rFonts w:ascii="Calibri" w:hAnsi="Calibri"/>
                <w:b/>
                <w:i w:val="0"/>
                <w:color w:val="FFFFFF"/>
                <w:sz w:val="18"/>
              </w:rPr>
              <w:t>Repère</w:t>
            </w:r>
          </w:p>
        </w:tc>
        <w:tc>
          <w:tcPr>
            <w:tcW w:type="dxa" w:w="6768"/>
            <w:shd w:fill="24493D"/>
            <w:tcMar>
              <w:top w:w="80" w:type="dxa"/>
              <w:start w:w="120" w:type="dxa"/>
              <w:bottom w:w="80" w:type="dxa"/>
              <w:end w:w="120" w:type="dxa"/>
            </w:tcMar>
            <w:vAlign w:val="center"/>
          </w:tcPr>
          <w:p>
            <w:pPr>
              <w:spacing w:after="0"/>
            </w:pPr>
            <w:r>
              <w:rPr>
                <w:rFonts w:ascii="Calibri" w:hAnsi="Calibri"/>
                <w:b/>
                <w:i w:val="0"/>
                <w:color w:val="FFFFFF"/>
                <w:sz w:val="18"/>
              </w:rPr>
              <w:t>Contrôle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Partie</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neuf, extension, rénovation ou diagnostic</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Qualification</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usage, surface, géographie, formalité et date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Régime</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texte et version correspondant à la date pertinente</w:t>
            </w:r>
          </w:p>
        </w:tc>
      </w:tr>
    </w:tbl>
    <w:p>
      <w:pPr>
        <w:spacing w:after="20"/>
      </w:pPr>
    </w:p>
    <w:p>
      <w:pPr>
        <w:jc w:val="center"/>
      </w:pPr>
      <w:r>
        <w:drawing>
          <wp:inline xmlns:a="http://schemas.openxmlformats.org/drawingml/2006/main" xmlns:pic="http://schemas.openxmlformats.org/drawingml/2006/picture">
            <wp:extent cx="5394960" cy="3236976"/>
            <wp:docPr id="2" name="Picture 2" descr="Coupe de Belvédère en quatre parties : douze logements neufs, médiathèque neuve, commerce neuf et aile existante rénovée. Chaque partie porte une première piste de régime. Une ligne de temps relie dépôt fictif, calcul, variante et achèvement." title="Illustration originale IEB"/>
            <wp:cNvGraphicFramePr>
              <a:graphicFrameLocks noChangeAspect="1"/>
            </wp:cNvGraphicFramePr>
            <a:graphic>
              <a:graphicData uri="http://schemas.openxmlformats.org/drawingml/2006/picture">
                <pic:pic>
                  <pic:nvPicPr>
                    <pic:cNvPr id="0" name="ieb-asset-c02-000001__coupe-regimes-belvedere__v0.1.0.png"/>
                    <pic:cNvPicPr/>
                  </pic:nvPicPr>
                  <pic:blipFill>
                    <a:blip r:embed="rId14"/>
                    <a:stretch>
                      <a:fillRect/>
                    </a:stretch>
                  </pic:blipFill>
                  <pic:spPr>
                    <a:xfrm>
                      <a:off x="0" y="0"/>
                      <a:ext cx="5394960" cy="3236976"/>
                    </a:xfrm>
                    <a:prstGeom prst="rect"/>
                  </pic:spPr>
                </pic:pic>
              </a:graphicData>
            </a:graphic>
          </wp:inline>
        </w:drawing>
      </w:r>
    </w:p>
    <w:p>
      <w:pPr>
        <w:spacing w:after="160"/>
        <w:jc w:val="center"/>
      </w:pPr>
      <w:r>
        <w:rPr>
          <w:rFonts w:ascii="Calibri" w:hAnsi="Calibri"/>
          <w:b w:val="0"/>
          <w:i/>
          <w:color w:val="59646A"/>
          <w:sz w:val="17"/>
        </w:rPr>
        <w:t>Coupe de Belvédère en quatre parties : douze logements neufs, médiathèque neuve, commerce neuf et aile existante rénovée. Chaque partie porte une première piste de régime. Une ligne de temps relie dépôt fictif, calcul, variante et achèvement.</w:t>
      </w:r>
    </w:p>
    <w:p>
      <w:pPr>
        <w:pStyle w:val="Heading1"/>
        <w:pageBreakBefore/>
      </w:pPr>
      <w:r>
        <w:rPr>
          <w:rFonts w:ascii="Calibri" w:hAnsi="Calibri"/>
          <w:b/>
          <w:i w:val="0"/>
          <w:color w:val="24493D"/>
          <w:sz w:val="32"/>
        </w:rPr>
        <w:t>2 — Lire</w:t>
      </w:r>
    </w:p>
    <w:tbl>
      <w:tblPr>
        <w:tblStyle w:val="TableGrid"/>
        <w:jc w:val="center"/>
        <w:tblLook w:firstColumn="1" w:firstRow="1" w:lastColumn="0" w:lastRow="0" w:noHBand="0" w:noVBand="1" w:val="04A0"/>
        <w:tblW w:w="9360" w:type="dxa"/>
        <w:tblInd w:w="120" w:type="dxa"/>
        <w:tblLayout w:type="fixed"/>
      </w:tblPr>
      <w:tblGrid>
        <w:gridCol w:w="2592"/>
        <w:gridCol w:w="6768"/>
      </w:tblGrid>
      <w:tr>
        <w:trPr>
          <w:tblHeader w:val="true"/>
          <w:cantSplit w:val="true"/>
        </w:trPr>
        <w:tc>
          <w:tcPr>
            <w:tcW w:type="dxa" w:w="2592"/>
            <w:shd w:fill="24493D"/>
            <w:tcMar>
              <w:top w:w="80" w:type="dxa"/>
              <w:start w:w="120" w:type="dxa"/>
              <w:bottom w:w="80" w:type="dxa"/>
              <w:end w:w="120" w:type="dxa"/>
            </w:tcMar>
            <w:vAlign w:val="center"/>
          </w:tcPr>
          <w:p>
            <w:pPr>
              <w:spacing w:after="0"/>
            </w:pPr>
            <w:r>
              <w:rPr>
                <w:rFonts w:ascii="Calibri" w:hAnsi="Calibri"/>
                <w:b/>
                <w:i w:val="0"/>
                <w:color w:val="FFFFFF"/>
                <w:sz w:val="18"/>
              </w:rPr>
              <w:t>Repère</w:t>
            </w:r>
          </w:p>
        </w:tc>
        <w:tc>
          <w:tcPr>
            <w:tcW w:type="dxa" w:w="6768"/>
            <w:shd w:fill="24493D"/>
            <w:tcMar>
              <w:top w:w="80" w:type="dxa"/>
              <w:start w:w="120" w:type="dxa"/>
              <w:bottom w:w="80" w:type="dxa"/>
              <w:end w:w="120" w:type="dxa"/>
            </w:tcMar>
            <w:vAlign w:val="center"/>
          </w:tcPr>
          <w:p>
            <w:pPr>
              <w:spacing w:after="0"/>
            </w:pPr>
            <w:r>
              <w:rPr>
                <w:rFonts w:ascii="Calibri" w:hAnsi="Calibri"/>
                <w:b/>
                <w:i w:val="0"/>
                <w:color w:val="FFFFFF"/>
                <w:sz w:val="18"/>
              </w:rPr>
              <w:t>Contrôle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Résultat</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valeur conventionnelle dans une version donnée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Référence</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maximum modulé et marge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Interprétation</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fonction, hypothèses sensibles et limite</w:t>
            </w:r>
          </w:p>
        </w:tc>
      </w:tr>
    </w:tbl>
    <w:p>
      <w:pPr>
        <w:spacing w:after="20"/>
      </w:pPr>
    </w:p>
    <w:p>
      <w:pPr>
        <w:jc w:val="center"/>
      </w:pPr>
      <w:r>
        <w:drawing>
          <wp:inline xmlns:a="http://schemas.openxmlformats.org/drawingml/2006/main" xmlns:pic="http://schemas.openxmlformats.org/drawingml/2006/picture">
            <wp:extent cx="5394960" cy="3236976"/>
            <wp:docPr id="3" name="Picture 3" descr="Six cadrans distincts : Bbio pour les besoins, Cep pour l'énergie primaire, Cep,nr pour la part non renouvelable, Icénergie pour le carbone d'exploitation, Icconstruction pour le carbone de construction et DH pour l'inconfort d'été conventionnel." title="Illustration originale IEB"/>
            <wp:cNvGraphicFramePr>
              <a:graphicFrameLocks noChangeAspect="1"/>
            </wp:cNvGraphicFramePr>
            <a:graphic>
              <a:graphicData uri="http://schemas.openxmlformats.org/drawingml/2006/picture">
                <pic:pic>
                  <pic:nvPicPr>
                    <pic:cNvPr id="0" name="ieb-asset-c02-000002__tableau-six-cadrans__v0.1.0.png"/>
                    <pic:cNvPicPr/>
                  </pic:nvPicPr>
                  <pic:blipFill>
                    <a:blip r:embed="rId15"/>
                    <a:stretch>
                      <a:fillRect/>
                    </a:stretch>
                  </pic:blipFill>
                  <pic:spPr>
                    <a:xfrm>
                      <a:off x="0" y="0"/>
                      <a:ext cx="5394960" cy="3236976"/>
                    </a:xfrm>
                    <a:prstGeom prst="rect"/>
                  </pic:spPr>
                </pic:pic>
              </a:graphicData>
            </a:graphic>
          </wp:inline>
        </w:drawing>
      </w:r>
    </w:p>
    <w:p>
      <w:pPr>
        <w:spacing w:after="160"/>
        <w:jc w:val="center"/>
      </w:pPr>
      <w:r>
        <w:rPr>
          <w:rFonts w:ascii="Calibri" w:hAnsi="Calibri"/>
          <w:b w:val="0"/>
          <w:i/>
          <w:color w:val="59646A"/>
          <w:sz w:val="17"/>
        </w:rPr>
        <w:t>Six cadrans distincts : Bbio pour les besoins, Cep pour l'énergie primaire, Cep,nr pour la part non renouvelable, Icénergie pour le carbone d'exploitation, Icconstruction pour le carbone de construction et DH pour l'inconfort d'été conventionnel.</w:t>
      </w:r>
    </w:p>
    <w:p>
      <w:pPr>
        <w:pStyle w:val="Heading1"/>
        <w:pageBreakBefore/>
      </w:pPr>
      <w:r>
        <w:rPr>
          <w:rFonts w:ascii="Calibri" w:hAnsi="Calibri"/>
          <w:b/>
          <w:i w:val="0"/>
          <w:color w:val="24493D"/>
          <w:sz w:val="32"/>
        </w:rPr>
        <w:t>3 — Tracer</w:t>
      </w:r>
    </w:p>
    <w:tbl>
      <w:tblPr>
        <w:tblStyle w:val="TableGrid"/>
        <w:jc w:val="center"/>
        <w:tblLook w:firstColumn="1" w:firstRow="1" w:lastColumn="0" w:lastRow="0" w:noHBand="0" w:noVBand="1" w:val="04A0"/>
        <w:tblW w:w="9360" w:type="dxa"/>
        <w:tblInd w:w="120" w:type="dxa"/>
        <w:tblLayout w:type="fixed"/>
      </w:tblPr>
      <w:tblGrid>
        <w:gridCol w:w="2592"/>
        <w:gridCol w:w="6768"/>
      </w:tblGrid>
      <w:tr>
        <w:trPr>
          <w:tblHeader w:val="true"/>
          <w:cantSplit w:val="true"/>
        </w:trPr>
        <w:tc>
          <w:tcPr>
            <w:tcW w:type="dxa" w:w="2592"/>
            <w:shd w:fill="24493D"/>
            <w:tcMar>
              <w:top w:w="80" w:type="dxa"/>
              <w:start w:w="120" w:type="dxa"/>
              <w:bottom w:w="80" w:type="dxa"/>
              <w:end w:w="120" w:type="dxa"/>
            </w:tcMar>
            <w:vAlign w:val="center"/>
          </w:tcPr>
          <w:p>
            <w:pPr>
              <w:spacing w:after="0"/>
            </w:pPr>
            <w:r>
              <w:rPr>
                <w:rFonts w:ascii="Calibri" w:hAnsi="Calibri"/>
                <w:b/>
                <w:i w:val="0"/>
                <w:color w:val="FFFFFF"/>
                <w:sz w:val="18"/>
              </w:rPr>
              <w:t>Repère</w:t>
            </w:r>
          </w:p>
        </w:tc>
        <w:tc>
          <w:tcPr>
            <w:tcW w:type="dxa" w:w="6768"/>
            <w:shd w:fill="24493D"/>
            <w:tcMar>
              <w:top w:w="80" w:type="dxa"/>
              <w:start w:w="120" w:type="dxa"/>
              <w:bottom w:w="80" w:type="dxa"/>
              <w:end w:w="120" w:type="dxa"/>
            </w:tcMar>
            <w:vAlign w:val="center"/>
          </w:tcPr>
          <w:p>
            <w:pPr>
              <w:spacing w:after="0"/>
            </w:pPr>
            <w:r>
              <w:rPr>
                <w:rFonts w:ascii="Calibri" w:hAnsi="Calibri"/>
                <w:b/>
                <w:i w:val="0"/>
                <w:color w:val="FFFFFF"/>
                <w:sz w:val="18"/>
              </w:rPr>
              <w:t>Contrôle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Composant</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identité prévue ou posée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Donnée</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quantité, unité, FDES/PEP/défaut et version</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Variante</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impact possible, recalcul, décision et preuve</w:t>
            </w:r>
          </w:p>
        </w:tc>
      </w:tr>
    </w:tbl>
    <w:p>
      <w:pPr>
        <w:spacing w:after="20"/>
      </w:pPr>
    </w:p>
    <w:p>
      <w:pPr>
        <w:jc w:val="center"/>
      </w:pPr>
      <w:r>
        <w:drawing>
          <wp:inline xmlns:a="http://schemas.openxmlformats.org/drawingml/2006/main" xmlns:pic="http://schemas.openxmlformats.org/drawingml/2006/picture">
            <wp:extent cx="4983480" cy="2990088"/>
            <wp:docPr id="4" name="Picture 4" descr="Chaîne ACV en six traces : composant, quantité, unité fonctionnelle, donnée environnementale, version et preuve d'adéquation. Le registre de variante relie objet, indicateurs, données, recalcul, décision et état exécuté." title="Illustration originale IEB"/>
            <wp:cNvGraphicFramePr>
              <a:graphicFrameLocks noChangeAspect="1"/>
            </wp:cNvGraphicFramePr>
            <a:graphic>
              <a:graphicData uri="http://schemas.openxmlformats.org/drawingml/2006/picture">
                <pic:pic>
                  <pic:nvPicPr>
                    <pic:cNvPr id="0" name="ieb-asset-c02-000003__piste-acv-variantes__v0.1.0.png"/>
                    <pic:cNvPicPr/>
                  </pic:nvPicPr>
                  <pic:blipFill>
                    <a:blip r:embed="rId16"/>
                    <a:stretch>
                      <a:fillRect/>
                    </a:stretch>
                  </pic:blipFill>
                  <pic:spPr>
                    <a:xfrm>
                      <a:off x="0" y="0"/>
                      <a:ext cx="4983480" cy="2990088"/>
                    </a:xfrm>
                    <a:prstGeom prst="rect"/>
                  </pic:spPr>
                </pic:pic>
              </a:graphicData>
            </a:graphic>
          </wp:inline>
        </w:drawing>
      </w:r>
    </w:p>
    <w:p>
      <w:pPr>
        <w:spacing w:after="160"/>
        <w:jc w:val="center"/>
      </w:pPr>
      <w:r>
        <w:rPr>
          <w:rFonts w:ascii="Calibri" w:hAnsi="Calibri"/>
          <w:b w:val="0"/>
          <w:i/>
          <w:color w:val="59646A"/>
          <w:sz w:val="17"/>
        </w:rPr>
        <w:t>Chaîne ACV en six traces : composant, quantité, unité fonctionnelle, donnée environnementale, version et preuve d'adéquation. Le registre de variante relie objet, indicateurs, données, recalcul, décision et état exécuté.</w:t>
      </w:r>
    </w:p>
    <w:p>
      <w:pPr>
        <w:pStyle w:val="Heading1"/>
        <w:pageBreakBefore/>
      </w:pPr>
      <w:r>
        <w:rPr>
          <w:rFonts w:ascii="Calibri" w:hAnsi="Calibri"/>
          <w:b/>
          <w:i w:val="0"/>
          <w:color w:val="24493D"/>
          <w:sz w:val="32"/>
        </w:rPr>
        <w:t>4 — Rapprocher</w:t>
      </w:r>
    </w:p>
    <w:tbl>
      <w:tblPr>
        <w:tblStyle w:val="TableGrid"/>
        <w:jc w:val="center"/>
        <w:tblLook w:firstColumn="1" w:firstRow="1" w:lastColumn="0" w:lastRow="0" w:noHBand="0" w:noVBand="1" w:val="04A0"/>
        <w:tblW w:w="9360" w:type="dxa"/>
        <w:tblInd w:w="120" w:type="dxa"/>
        <w:tblLayout w:type="fixed"/>
      </w:tblPr>
      <w:tblGrid>
        <w:gridCol w:w="2592"/>
        <w:gridCol w:w="6768"/>
      </w:tblGrid>
      <w:tr>
        <w:trPr>
          <w:tblHeader w:val="true"/>
          <w:cantSplit w:val="true"/>
        </w:trPr>
        <w:tc>
          <w:tcPr>
            <w:tcW w:type="dxa" w:w="2592"/>
            <w:shd w:fill="24493D"/>
            <w:tcMar>
              <w:top w:w="80" w:type="dxa"/>
              <w:start w:w="120" w:type="dxa"/>
              <w:bottom w:w="80" w:type="dxa"/>
              <w:end w:w="120" w:type="dxa"/>
            </w:tcMar>
            <w:vAlign w:val="center"/>
          </w:tcPr>
          <w:p>
            <w:pPr>
              <w:spacing w:after="0"/>
            </w:pPr>
            <w:r>
              <w:rPr>
                <w:rFonts w:ascii="Calibri" w:hAnsi="Calibri"/>
                <w:b/>
                <w:i w:val="0"/>
                <w:color w:val="FFFFFF"/>
                <w:sz w:val="18"/>
              </w:rPr>
              <w:t>Repère</w:t>
            </w:r>
          </w:p>
        </w:tc>
        <w:tc>
          <w:tcPr>
            <w:tcW w:type="dxa" w:w="6768"/>
            <w:shd w:fill="24493D"/>
            <w:tcMar>
              <w:top w:w="80" w:type="dxa"/>
              <w:start w:w="120" w:type="dxa"/>
              <w:bottom w:w="80" w:type="dxa"/>
              <w:end w:w="120" w:type="dxa"/>
            </w:tcMar>
            <w:vAlign w:val="center"/>
          </w:tcPr>
          <w:p>
            <w:pPr>
              <w:spacing w:after="0"/>
            </w:pPr>
            <w:r>
              <w:rPr>
                <w:rFonts w:ascii="Calibri" w:hAnsi="Calibri"/>
                <w:b/>
                <w:i w:val="0"/>
                <w:color w:val="FFFFFF"/>
                <w:sz w:val="18"/>
              </w:rPr>
              <w:t>Contrôle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Calcul</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version, auteur, hypothèses et résultats</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Chantier</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état exécuté, quantités, produits et systèmes</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Preuve</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RSEE final, plans, contrôles et attestations</w:t>
            </w:r>
          </w:p>
        </w:tc>
      </w:tr>
    </w:tbl>
    <w:p>
      <w:pPr>
        <w:spacing w:after="20"/>
      </w:pPr>
    </w:p>
    <w:p>
      <w:pPr>
        <w:jc w:val="center"/>
      </w:pPr>
      <w:r>
        <w:drawing>
          <wp:inline xmlns:a="http://schemas.openxmlformats.org/drawingml/2006/main" xmlns:pic="http://schemas.openxmlformats.org/drawingml/2006/picture">
            <wp:extent cx="5394960" cy="3236976"/>
            <wp:docPr id="5" name="Picture 5" descr="Trois blocs à rapprocher : calcul, chantier et preuve. Le passage de relais final RÉGIME porte régime, échéance, géographie, indicateurs, millésime et éléments de preuve." title="Illustration originale IEB"/>
            <wp:cNvGraphicFramePr>
              <a:graphicFrameLocks noChangeAspect="1"/>
            </wp:cNvGraphicFramePr>
            <a:graphic>
              <a:graphicData uri="http://schemas.openxmlformats.org/drawingml/2006/picture">
                <pic:pic>
                  <pic:nvPicPr>
                    <pic:cNvPr id="0" name="ieb-asset-c02-000004__calcul-chantier-preuve__v0.1.0.png"/>
                    <pic:cNvPicPr/>
                  </pic:nvPicPr>
                  <pic:blipFill>
                    <a:blip r:embed="rId13"/>
                    <a:stretch>
                      <a:fillRect/>
                    </a:stretch>
                  </pic:blipFill>
                  <pic:spPr>
                    <a:xfrm>
                      <a:off x="0" y="0"/>
                      <a:ext cx="5394960" cy="3236976"/>
                    </a:xfrm>
                    <a:prstGeom prst="rect"/>
                  </pic:spPr>
                </pic:pic>
              </a:graphicData>
            </a:graphic>
          </wp:inline>
        </w:drawing>
      </w:r>
    </w:p>
    <w:p>
      <w:pPr>
        <w:spacing w:after="160"/>
        <w:jc w:val="center"/>
      </w:pPr>
      <w:r>
        <w:rPr>
          <w:rFonts w:ascii="Calibri" w:hAnsi="Calibri"/>
          <w:b w:val="0"/>
          <w:i/>
          <w:color w:val="59646A"/>
          <w:sz w:val="17"/>
        </w:rPr>
        <w:t>Trois blocs à rapprocher : calcul, chantier et preuve. Le passage de relais final RÉGIME porte régime, échéance, géographie, indicateurs, millésime et éléments de preuve.</w:t>
      </w:r>
    </w:p>
    <w:p>
      <w:pPr>
        <w:pStyle w:val="Heading1"/>
        <w:pageBreakBefore/>
      </w:pPr>
      <w:r>
        <w:rPr>
          <w:rFonts w:ascii="Calibri" w:hAnsi="Calibri"/>
          <w:b/>
          <w:i w:val="0"/>
          <w:color w:val="24493D"/>
          <w:sz w:val="32"/>
        </w:rPr>
        <w:t>5 — Transmettre RÉGIME</w:t>
      </w:r>
    </w:p>
    <w:tbl>
      <w:tblPr>
        <w:tblStyle w:val="TableGrid"/>
        <w:jc w:val="center"/>
        <w:tblLook w:firstColumn="1" w:firstRow="1" w:lastColumn="0" w:lastRow="0" w:noHBand="0" w:noVBand="1" w:val="04A0"/>
        <w:tblW w:w="9360" w:type="dxa"/>
        <w:tblInd w:w="120" w:type="dxa"/>
        <w:tblLayout w:type="fixed"/>
      </w:tblPr>
      <w:tblGrid>
        <w:gridCol w:w="2592"/>
        <w:gridCol w:w="6768"/>
      </w:tblGrid>
      <w:tr>
        <w:trPr>
          <w:tblHeader w:val="true"/>
          <w:cantSplit w:val="true"/>
        </w:trPr>
        <w:tc>
          <w:tcPr>
            <w:tcW w:type="dxa" w:w="2592"/>
            <w:shd w:fill="24493D"/>
            <w:tcMar>
              <w:top w:w="80" w:type="dxa"/>
              <w:start w:w="120" w:type="dxa"/>
              <w:bottom w:w="80" w:type="dxa"/>
              <w:end w:w="120" w:type="dxa"/>
            </w:tcMar>
            <w:vAlign w:val="center"/>
          </w:tcPr>
          <w:p>
            <w:pPr>
              <w:spacing w:after="0"/>
            </w:pPr>
            <w:r>
              <w:rPr>
                <w:rFonts w:ascii="Calibri" w:hAnsi="Calibri"/>
                <w:b/>
                <w:i w:val="0"/>
                <w:color w:val="FFFFFF"/>
                <w:sz w:val="18"/>
              </w:rPr>
              <w:t>Repère</w:t>
            </w:r>
          </w:p>
        </w:tc>
        <w:tc>
          <w:tcPr>
            <w:tcW w:type="dxa" w:w="6768"/>
            <w:shd w:fill="24493D"/>
            <w:tcMar>
              <w:top w:w="80" w:type="dxa"/>
              <w:start w:w="120" w:type="dxa"/>
              <w:bottom w:w="80" w:type="dxa"/>
              <w:end w:w="120" w:type="dxa"/>
            </w:tcMar>
            <w:vAlign w:val="center"/>
          </w:tcPr>
          <w:p>
            <w:pPr>
              <w:spacing w:after="0"/>
            </w:pPr>
            <w:r>
              <w:rPr>
                <w:rFonts w:ascii="Calibri" w:hAnsi="Calibri"/>
                <w:b/>
                <w:i w:val="0"/>
                <w:color w:val="FFFFFF"/>
                <w:sz w:val="18"/>
              </w:rPr>
              <w:t>Contrôle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R</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Régime par partie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É</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Échéance et formalité</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G</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Géographie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I</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Indicateurs et marges</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M</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Millésime et versions</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E</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Éléments de preuve, action et condition</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Phrase témoin — </w:t>
            </w:r>
            <w:r>
              <w:rPr>
                <w:rFonts w:ascii="Calibri" w:hAnsi="Calibri"/>
                <w:b w:val="0"/>
                <w:i w:val="0"/>
                <w:color w:val="252A2C"/>
                <w:sz w:val="21"/>
              </w:rPr>
              <w:t>Les pièces disponibles ne permettent pas d'établir que le projet de RSEE décrit l'état exécuté. Intégrer les variantes V02 et V04, recalculer les indicateurs concernés et rapprocher plans, contrôles et données avant attestation.</w:t>
            </w:r>
          </w:p>
        </w:tc>
      </w:tr>
    </w:tbl>
    <w:p>
      <w:pPr>
        <w:spacing w:after="20"/>
      </w:pP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C-02  |  Réglementations thermiques et RE 2020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C-02  |  Réglementations thermiques et RE 2020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 Aide-mémoire</dc:title>
  <dc:subject>Réglementations thermiques et RE 2020</dc:subject>
  <dc:creator>Institut de l'Expertise en Bâtiment</dc:creator>
  <cp:keywords>RE2020, thermique, énergie, carbone, ACV, Belvédère</cp:keywords>
  <dc:description>Ressource C-02 - opération Belvédère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