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20"/>
      </w:pPr>
      <w:r>
        <w:rPr>
          <w:rFonts w:ascii="Calibri" w:hAnsi="Calibri"/>
          <w:b/>
          <w:i w:val="0"/>
          <w:color w:val="C66B32"/>
          <w:sz w:val="18"/>
        </w:rPr>
        <w:t>C-04  |  CARNET OPÉRATIONNEL</w:t>
      </w:r>
    </w:p>
    <w:p>
      <w:pPr>
        <w:pStyle w:val="Title"/>
      </w:pPr>
      <w:r>
        <w:rPr>
          <w:rFonts w:ascii="Calibri" w:hAnsi="Calibri"/>
          <w:b/>
          <w:i w:val="0"/>
          <w:color w:val="24493D"/>
          <w:sz w:val="52"/>
        </w:rPr>
        <w:t>AIDE-MÉMOIRE</w:t>
      </w:r>
    </w:p>
    <w:p>
      <w:r>
        <w:rPr>
          <w:rFonts w:ascii="Calibri" w:hAnsi="Calibri"/>
          <w:b/>
          <w:i w:val="0"/>
          <w:color w:val="315F78"/>
          <w:sz w:val="26"/>
        </w:rPr>
        <w:t>Piloter mission, documents, décisions et réception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</w:trPr>
        <w:tc>
          <w:tcPr>
            <w:tcW w:type="dxa" w:w="9360"/>
            <w:shd w:fill="E9EFEA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C66B32"/>
                <w:sz w:val="21"/>
              </w:rPr>
              <w:t xml:space="preserve">Format — </w:t>
            </w:r>
            <w:r>
              <w:rPr>
                <w:rFonts w:ascii="Calibri" w:hAnsi="Calibri"/>
                <w:b w:val="0"/>
                <w:i w:val="0"/>
                <w:color w:val="252A2C"/>
                <w:sz w:val="21"/>
              </w:rPr>
              <w:t>6 fiches opérationnelles | usage numérique ou imprimé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</w:trPr>
        <w:tc>
          <w:tcPr>
            <w:tcW w:type="dxa" w:w="9360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8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5623560" cy="3374136"/>
                  <wp:docPr id="1" name="Picture 1" descr="Une chaîne en cinq étapes relie fait, décision, action, échéance et preuve. Quatre cadrans rapprochent qualité, coût, délai et sécurité : attendu et contrôle ; engagé et prévision ; référence et chemin critique ; interface, mesure et preuve." title="Illustration originale IEB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eb-asset-c04-000003__action-cockpit-qcd-plus__v0.1.0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3560" cy="337413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80"/>
              <w:jc w:val="center"/>
            </w:pPr>
            <w:r>
              <w:rPr>
                <w:rFonts w:ascii="Calibri" w:hAnsi="Calibri"/>
                <w:b w:val="0"/>
                <w:i/>
                <w:color w:val="59646A"/>
                <w:sz w:val="17"/>
              </w:rPr>
              <w:t>Une chaîne en cinq étapes relie fait, décision, action, échéance et preuve. Quatre cadrans rapprochent qualité, coût, délai et sécurité : attendu et contrôle ; engagé et prévision ; référence et chemin critique ; interface, mesure et preuve.</w:t>
            </w:r>
          </w:p>
        </w:tc>
      </w:tr>
    </w:tbl>
    <w:p>
      <w:pPr>
        <w:spacing w:after="20"/>
      </w:pPr>
    </w:p>
    <w:p>
      <w:r>
        <w:rPr>
          <w:rFonts w:ascii="Calibri" w:hAnsi="Calibri"/>
          <w:b w:val="0"/>
          <w:i/>
          <w:color w:val="252A2C"/>
          <w:sz w:val="22"/>
        </w:rPr>
        <w:t>Nommer la pièce, l'acteur, la décision, l'échéance et la preuve ; ne jamais déduire une autorité du seul titre professionnel.</w:t>
      </w: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1 — Cartographier les missions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2592"/>
        <w:gridCol w:w="6768"/>
      </w:tblGrid>
      <w:tr>
        <w:trPr>
          <w:tblHeader w:val="true"/>
          <w:cantSplit w:val="true"/>
        </w:trPr>
        <w:tc>
          <w:tcPr>
            <w:tcW w:type="dxa" w:w="259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Repère</w:t>
            </w:r>
          </w:p>
        </w:tc>
        <w:tc>
          <w:tcPr>
            <w:tcW w:type="dxa" w:w="676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Contrôle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MOA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fixer programme et enveloppe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MOA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conclure les marchés publics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MOE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répondre au programme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MOE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préparer la consultation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entreprise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produire les documents d'exécution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MOE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examiner un document et viser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</w:trPr>
        <w:tc>
          <w:tcPr>
            <w:tcW w:type="dxa" w:w="9360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8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5074920" cy="3044952"/>
                  <wp:docPr id="2" name="Picture 2" descr="Six cartes distinctes : maître d'ouvrage pour programme, enveloppe, contrats, arbitrages et réception ; maître d'œuvre pour la réponse au programme et les éléments de mission confiés ; entreprise pour documents d'exécution, travaux, autocontrôles et preuves ; OPC pour tâches, enchaînements et coordination ; coordonnateur SPS pour la prévention de la coactivité ; spécialiste pour une étude, mesure ou avis ciblé. Chaque rôle doit être relié à une pièce, une phase, une autorité, une limite et une preuve." title="Illustration originale IEB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eb-asset-c04-000001__carte-missions-sillage__v0.1.0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4920" cy="304495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80"/>
              <w:jc w:val="center"/>
            </w:pPr>
            <w:r>
              <w:rPr>
                <w:rFonts w:ascii="Calibri" w:hAnsi="Calibri"/>
                <w:b w:val="0"/>
                <w:i/>
                <w:color w:val="59646A"/>
                <w:sz w:val="17"/>
              </w:rPr>
              <w:t>Six cartes distinctes : maître d'ouvrage pour programme, enveloppe, contrats, arbitrages et réception ; maître d'œuvre pour la réponse au programme et les éléments de mission confiés ; entreprise pour documents d'exécution, travaux, autocontrôles et preuves ; OPC pour tâches, enchaînements et coordination ; coordonnateur SPS pour la prévention de la coactivité ; spécialiste pour une étude, mesure ou avis ciblé. Chaque rôle doit être relié à une pièce, une phase, une autorité, une limite et une preuve.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2 — Tenir CAP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2592"/>
        <w:gridCol w:w="6768"/>
      </w:tblGrid>
      <w:tr>
        <w:trPr>
          <w:tblHeader w:val="true"/>
          <w:cantSplit w:val="true"/>
        </w:trPr>
        <w:tc>
          <w:tcPr>
            <w:tcW w:type="dxa" w:w="259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Repère</w:t>
            </w:r>
          </w:p>
        </w:tc>
        <w:tc>
          <w:tcPr>
            <w:tcW w:type="dxa" w:w="676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Contrôle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Contrat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pièce, indice, date et statut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Acteur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producteur, vérificateur, décideur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Production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livrable, délai, limite et preuve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</w:trPr>
        <w:tc>
          <w:tcPr>
            <w:tcW w:type="dxa" w:w="9360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8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5074920" cy="3044952"/>
                  <wp:docPr id="3" name="Picture 3" descr="Trois blocs CAP relient contrat ou programme, acteur et production ou décision. Une ligne de vie documentaire conserve six statuts : proposé, à examiner, visé avec observation, actif, remplacé et archivé. Le schéma rappelle que reçu ne signifie pas actif et que visé ne signifie pas modification contractuelle." title="Illustration originale IEB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eb-asset-c04-000002__matrice-cap-ligne-documentaire__v0.1.0.pn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4920" cy="304495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80"/>
              <w:jc w:val="center"/>
            </w:pPr>
            <w:r>
              <w:rPr>
                <w:rFonts w:ascii="Calibri" w:hAnsi="Calibri"/>
                <w:b w:val="0"/>
                <w:i/>
                <w:color w:val="59646A"/>
                <w:sz w:val="17"/>
              </w:rPr>
              <w:t>Trois blocs CAP relient contrat ou programme, acteur et production ou décision. Une ligne de vie documentaire conserve six statuts : proposé, à examiner, visé avec observation, actif, remplacé et archivé. Le schéma rappelle que reçu ne signifie pas actif et que visé ne signifie pas modification contractuelle.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3 — Fermer les actions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2592"/>
        <w:gridCol w:w="6768"/>
      </w:tblGrid>
      <w:tr>
        <w:trPr>
          <w:tblHeader w:val="true"/>
          <w:cantSplit w:val="true"/>
        </w:trPr>
        <w:tc>
          <w:tcPr>
            <w:tcW w:type="dxa" w:w="259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Repère</w:t>
            </w:r>
          </w:p>
        </w:tc>
        <w:tc>
          <w:tcPr>
            <w:tcW w:type="dxa" w:w="676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Contrôle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Fait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objet, zone, date et pièce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Décision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acteur, objet, conditions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Action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verbe et responsable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Échéance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date utile et dépendance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Preuve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condition de fermeture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</w:trPr>
        <w:tc>
          <w:tcPr>
            <w:tcW w:type="dxa" w:w="9360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8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5074920" cy="3044952"/>
                  <wp:docPr id="4" name="Picture 4" descr="Une chaîne en cinq étapes relie fait, décision, action, échéance et preuve. Quatre cadrans rapprochent qualité, coût, délai et sécurité : attendu et contrôle ; engagé et prévision ; référence et chemin critique ; interface, mesure et preuve." title="Illustration originale IEB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eb-asset-c04-000003__action-cockpit-qcd-plus__v0.1.0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4920" cy="304495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80"/>
              <w:jc w:val="center"/>
            </w:pPr>
            <w:r>
              <w:rPr>
                <w:rFonts w:ascii="Calibri" w:hAnsi="Calibri"/>
                <w:b w:val="0"/>
                <w:i/>
                <w:color w:val="59646A"/>
                <w:sz w:val="17"/>
              </w:rPr>
              <w:t>Une chaîne en cinq étapes relie fait, décision, action, échéance et preuve. Quatre cadrans rapprochent qualité, coût, délai et sécurité : attendu et contrôle ; engagé et prévision ; référence et chemin critique ; interface, mesure et preuve.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4 — Instruire DÉCIDE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2592"/>
        <w:gridCol w:w="6768"/>
      </w:tblGrid>
      <w:tr>
        <w:trPr>
          <w:tblHeader w:val="true"/>
          <w:cantSplit w:val="true"/>
        </w:trPr>
        <w:tc>
          <w:tcPr>
            <w:tcW w:type="dxa" w:w="259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Repère</w:t>
            </w:r>
          </w:p>
        </w:tc>
        <w:tc>
          <w:tcPr>
            <w:tcW w:type="dxa" w:w="676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Contrôle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Demande — auteur, objet, motif et urgence revendiquée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État de référence — programme, marché, plans et décision actifs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Chiffrage et incidences — qualité, coût, délai, sécurité, exploitation et autorisation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Instruction — études, avis, options et contradiction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Décision — acteur autorisé, choix, conditions et date d'effet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Évidence — pièces modifiées, diffusion, exécution et vérification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</w:trPr>
        <w:tc>
          <w:tcPr>
            <w:tcW w:type="dxa" w:w="9360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8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5074920" cy="3044952"/>
                  <wp:docPr id="5" name="Picture 5" descr="Le journal DÉCIDE enchaîne demande, état de référence, chiffrage et incidences, instruction, décision et évidence. Le passeport de réception sépare opérations préalables, décision de réception, réserves, levées, DOE et garantie." title="Illustration originale IEB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eb-asset-c04-000004__decide-passeport-reception__v0.1.0.pn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4920" cy="304495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80"/>
              <w:jc w:val="center"/>
            </w:pPr>
            <w:r>
              <w:rPr>
                <w:rFonts w:ascii="Calibri" w:hAnsi="Calibri"/>
                <w:b w:val="0"/>
                <w:i/>
                <w:color w:val="59646A"/>
                <w:sz w:val="17"/>
              </w:rPr>
              <w:t>Le journal DÉCIDE enchaîne demande, état de référence, chiffrage et incidences, instruction, décision et évidence. Le passeport de réception sépare opérations préalables, décision de réception, réserves, levées, DOE et garantie.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5 — Rapprocher QCD+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2592"/>
        <w:gridCol w:w="6768"/>
      </w:tblGrid>
      <w:tr>
        <w:trPr>
          <w:tblHeader w:val="true"/>
          <w:cantSplit w:val="true"/>
        </w:trPr>
        <w:tc>
          <w:tcPr>
            <w:tcW w:type="dxa" w:w="259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Repère</w:t>
            </w:r>
          </w:p>
        </w:tc>
        <w:tc>
          <w:tcPr>
            <w:tcW w:type="dxa" w:w="676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Contrôle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qualité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attendu / état / contrôle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coût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engagé / décidé / risque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délai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référence / prévision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sécurité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interface / coactivité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6 — Recevoir sans fusionner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2592"/>
        <w:gridCol w:w="6768"/>
      </w:tblGrid>
      <w:tr>
        <w:trPr>
          <w:tblHeader w:val="true"/>
          <w:cantSplit w:val="true"/>
        </w:trPr>
        <w:tc>
          <w:tcPr>
            <w:tcW w:type="dxa" w:w="259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Repère</w:t>
            </w:r>
          </w:p>
        </w:tc>
        <w:tc>
          <w:tcPr>
            <w:tcW w:type="dxa" w:w="676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Contrôle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OPR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préparer les constats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Réception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décision du maître d'ouvrage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Réserves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actions localisées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Levées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preuve et vérification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DOE / garantie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exploiter et suivre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</w:trPr>
        <w:tc>
          <w:tcPr>
            <w:tcW w:type="dxa" w:w="9360"/>
            <w:shd w:fill="E9EFEA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C66B32"/>
                <w:sz w:val="21"/>
              </w:rPr>
              <w:t xml:space="preserve">Phrase témoin — </w:t>
            </w:r>
            <w:r>
              <w:rPr>
                <w:rFonts w:ascii="Calibri" w:hAnsi="Calibri"/>
                <w:b w:val="0"/>
                <w:i w:val="0"/>
                <w:color w:val="252A2C"/>
                <w:sz w:val="21"/>
              </w:rPr>
              <w:t>Façade nord N4-N6 : S-12 C et R-08 B divergent sur D2. Visa suspendu à la synthèse. Pièce cohérente requise avant commande ; décision du maître d'ouvrage si le marché change ; état exécuté à vérifier.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headerReference w:type="even" r:id="rId11"/>
      <w:footerReference w:type="even" r:id="rId12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b w:val="0"/>
        <w:i w:val="0"/>
        <w:color w:val="59646A"/>
        <w:sz w:val="16"/>
      </w:rPr>
      <w:t>C-04  |  Maîtrise d'œuvre et suivi de travaux  |  0.1.0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b w:val="0"/>
        <w:i w:val="0"/>
        <w:color w:val="59646A"/>
        <w:sz w:val="16"/>
      </w:rPr>
      <w:t>C-04  |  Maîtrise d'œuvre et suivi de travaux  |  0.1.0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jc w:val="left"/>
    </w:pPr>
    <w:r>
      <w:rPr>
        <w:rFonts w:ascii="Calibri" w:hAnsi="Calibri"/>
        <w:b/>
        <w:i w:val="0"/>
        <w:color w:val="C66B32"/>
        <w:sz w:val="17"/>
      </w:rPr>
      <w:t>INSTITUT DE L'EXPERTISE EN BÂTIMENT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jc w:val="left"/>
    </w:pPr>
    <w:r>
      <w:rPr>
        <w:rFonts w:ascii="Calibri" w:hAnsi="Calibri"/>
        <w:b/>
        <w:i w:val="0"/>
        <w:color w:val="C66B32"/>
        <w:sz w:val="17"/>
      </w:rPr>
      <w:t>INSTITUT DE L'EXPERTISE EN BÂTIMENT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252A2C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4493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C66B3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24493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24493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image" Target="media/image1.png"/><Relationship Id="rId14" Type="http://schemas.openxmlformats.org/officeDocument/2006/relationships/image" Target="media/image2.png"/><Relationship Id="rId15" Type="http://schemas.openxmlformats.org/officeDocument/2006/relationships/image" Target="media/image3.png"/><Relationship Id="rId16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C-04 - Aide-mémoire</dc:title>
  <dc:subject>Maîtrise d'œuvre et suivi de travaux</dc:subject>
  <dc:creator>Institut de l'Expertise en Bâtiment</dc:creator>
  <cp:keywords>maîtrise d'œuvre, chantier, CAP, visa, QCD, DÉCIDE, réception, Sillage</cp:keywords>
  <dc:description>Ressource C-04 - opération Sillage entièrement synthétique</dc:description>
  <cp:lastModifiedBy>Institut de l'Expertise en Bâtiment</cp:lastModifiedBy>
  <cp:revision>1</cp:revision>
  <dcterms:created xsi:type="dcterms:W3CDTF">2013-12-23T23:15:00Z</dcterms:created>
  <dcterms:modified xsi:type="dcterms:W3CDTF">2013-12-23T23:15:00Z</dcterms:modified>
  <cp:category/>
</cp:coreProperties>
</file>