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</w:pPr>
      <w:r>
        <w:rPr>
          <w:rFonts w:ascii="Arial" w:hAnsi="Arial"/>
          <w:b/>
          <w:i w:val="0"/>
          <w:color w:val="994A28"/>
          <w:sz w:val="18"/>
        </w:rPr>
        <w:t>P-05  |  PARCOURS OPÉRATIONNEL</w:t>
      </w:r>
    </w:p>
    <w:p>
      <w:pPr>
        <w:pStyle w:val="Title"/>
      </w:pPr>
      <w:r>
        <w:rPr>
          <w:rFonts w:ascii="Arial" w:hAnsi="Arial"/>
          <w:b/>
          <w:i w:val="0"/>
          <w:color w:val="243746"/>
          <w:sz w:val="52"/>
        </w:rPr>
        <w:t>AIDE-MÉMOIRE</w:t>
      </w:r>
    </w:p>
    <w:p>
      <w:pPr>
        <w:spacing w:after="240"/>
      </w:pPr>
      <w:r>
        <w:rPr>
          <w:rFonts w:ascii="Arial" w:hAnsi="Arial"/>
          <w:b/>
          <w:i w:val="0"/>
          <w:color w:val="637565"/>
          <w:sz w:val="26"/>
        </w:rPr>
        <w:t>TRACE - du point de mission à la conclusion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AF0F3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Format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4 pages | relecture avant remise | usage terrain et bureau</w:t>
            </w:r>
          </w:p>
        </w:tc>
      </w:tr>
    </w:tbl>
    <w:p>
      <w:pPr>
        <w:spacing w:after="20"/>
      </w:pP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544000" cy="3696000"/>
            <wp:docPr id="1" name="Picture 1" descr="Illustration originale IEB du parcours P-05 ; la Maison des Tilleuls et ses pièces sont entièrement fictives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p05-000001__ligne-portee-rapport__v0.1.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44000" cy="369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Illustration originale IEB du parcours P-05 ; la Maison des Tilleuls et ses pièces sont entièrement fictives.</w:t>
      </w:r>
    </w:p>
    <w:p>
      <w:pPr>
        <w:spacing w:before="40"/>
      </w:pPr>
      <w:r>
        <w:rPr>
          <w:rFonts w:ascii="Arial" w:hAnsi="Arial"/>
          <w:b w:val="0"/>
          <w:i/>
          <w:color w:val="20282D"/>
          <w:sz w:val="22"/>
        </w:rPr>
        <w:t>Transformer une mission technique et un dossier hétérogène en un rapport contrôlable, borné et utile à la décision.</w:t>
      </w:r>
    </w:p>
    <w:p>
      <w:r>
        <w:br w:type="page"/>
      </w:r>
    </w:p>
    <w:p>
      <w:pPr>
        <w:pStyle w:val="Heading1"/>
      </w:pPr>
      <w:r>
        <w:t>TRACE et les statuts d'information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1984"/>
        <w:gridCol w:w="7937"/>
      </w:tblGrid>
      <w:tr>
        <w:trPr>
          <w:tblHeader w:val="true"/>
        </w:trPr>
        <w:tc>
          <w:tcPr>
            <w:tcW w:type="dxa" w:w="1984"/>
            <w:shd w:fill="243746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7937"/>
            <w:shd w:fill="243746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Question de contrôle</w:t>
            </w:r>
          </w:p>
        </w:tc>
      </w:tr>
      <w:tr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T - Traiter</w:t>
            </w:r>
          </w:p>
        </w:tc>
        <w:tc>
          <w:tcPr>
            <w:tcW w:type="dxa" w:w="79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Chaque point de mission reçoit-il une réponse identifiable ?</w:t>
            </w:r>
          </w:p>
        </w:tc>
      </w:tr>
      <w:tr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R - Relier</w:t>
            </w:r>
          </w:p>
        </w:tc>
        <w:tc>
          <w:tcPr>
            <w:tcW w:type="dxa" w:w="79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Provenance, version, statut et portée des preuves sont-ils visibles ?</w:t>
            </w:r>
          </w:p>
        </w:tc>
      </w:tr>
      <w:tr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A - Analyser</w:t>
            </w:r>
          </w:p>
        </w:tc>
        <w:tc>
          <w:tcPr>
            <w:tcW w:type="dxa" w:w="79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La meilleure contre-hypothèse et les contradictions sont-elles traitées ?</w:t>
            </w:r>
          </w:p>
        </w:tc>
      </w:tr>
      <w:tr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C - Conclure</w:t>
            </w:r>
          </w:p>
        </w:tc>
        <w:tc>
          <w:tcPr>
            <w:tcW w:type="dxa" w:w="79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La force des mots suit-elle la force du dossier ?</w:t>
            </w:r>
          </w:p>
        </w:tc>
      </w:tr>
      <w:tr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E - Expliciter</w:t>
            </w:r>
          </w:p>
        </w:tc>
        <w:tc>
          <w:tcPr>
            <w:tcW w:type="dxa" w:w="79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Manques, hors mission, autres compétences et suite utile sont-ils nommés ?</w:t>
            </w:r>
          </w:p>
        </w:tc>
      </w:tr>
    </w:tbl>
    <w:p>
      <w:pPr>
        <w:spacing w:after="20"/>
      </w:pPr>
    </w:p>
    <w:p>
      <w:pPr>
        <w:pStyle w:val="Heading2"/>
      </w:pPr>
      <w:r>
        <w:t>Quatre statuts de phrase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1984"/>
        <w:gridCol w:w="7937"/>
      </w:tblGrid>
      <w:tr>
        <w:trPr>
          <w:tblHeader w:val="true"/>
        </w:trPr>
        <w:tc>
          <w:tcPr>
            <w:tcW w:type="dxa" w:w="1984"/>
            <w:shd w:fill="243746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Statut</w:t>
            </w:r>
          </w:p>
        </w:tc>
        <w:tc>
          <w:tcPr>
            <w:tcW w:type="dxa" w:w="7937"/>
            <w:shd w:fill="243746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Départ de phrase</w:t>
            </w:r>
          </w:p>
        </w:tc>
      </w:tr>
      <w:tr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Établi</w:t>
            </w:r>
          </w:p>
        </w:tc>
        <w:tc>
          <w:tcPr>
            <w:tcW w:type="dxa" w:w="79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La visite / la mesure / le document identifié montre...</w:t>
            </w:r>
          </w:p>
        </w:tc>
      </w:tr>
      <w:tr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Rapporté</w:t>
            </w:r>
          </w:p>
        </w:tc>
        <w:tc>
          <w:tcPr>
            <w:tcW w:type="dxa" w:w="79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Selon la déclaration ou le courriel attribué...</w:t>
            </w:r>
          </w:p>
        </w:tc>
      </w:tr>
      <w:tr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Inféré</w:t>
            </w:r>
          </w:p>
        </w:tc>
        <w:tc>
          <w:tcPr>
            <w:tcW w:type="dxa" w:w="79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Ces éléments sont compatibles avec..., sans permettre de...</w:t>
            </w:r>
          </w:p>
        </w:tc>
      </w:tr>
      <w:tr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Recommandé</w:t>
            </w:r>
          </w:p>
        </w:tc>
        <w:tc>
          <w:tcPr>
            <w:tcW w:type="dxa" w:w="79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Afin de départager..., il est proposé de...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Architecture et conclusion</w:t>
      </w:r>
    </w:p>
    <w:p>
      <w:pPr>
        <w:numPr>
          <w:ilvl w:val="0"/>
          <w:numId w:val="10"/>
        </w:numPr>
      </w:pPr>
      <w:r>
        <w:rPr>
          <w:rFonts w:ascii="Arial" w:hAnsi="Arial"/>
          <w:b w:val="0"/>
          <w:i w:val="0"/>
          <w:color w:val="20282D"/>
          <w:sz w:val="21"/>
        </w:rPr>
        <w:t>Mission, périmètre, limites et compétences.</w:t>
      </w:r>
    </w:p>
    <w:p>
      <w:pPr>
        <w:numPr>
          <w:ilvl w:val="0"/>
          <w:numId w:val="10"/>
        </w:numPr>
      </w:pPr>
      <w:r>
        <w:rPr>
          <w:rFonts w:ascii="Arial" w:hAnsi="Arial"/>
          <w:b w:val="0"/>
          <w:i w:val="0"/>
          <w:color w:val="20282D"/>
          <w:sz w:val="21"/>
        </w:rPr>
        <w:t>Bordereau, versions, diligences et conditions.</w:t>
      </w:r>
    </w:p>
    <w:p>
      <w:pPr>
        <w:numPr>
          <w:ilvl w:val="0"/>
          <w:numId w:val="10"/>
        </w:numPr>
      </w:pPr>
      <w:r>
        <w:rPr>
          <w:rFonts w:ascii="Arial" w:hAnsi="Arial"/>
          <w:b w:val="0"/>
          <w:i w:val="0"/>
          <w:color w:val="20282D"/>
          <w:sz w:val="21"/>
        </w:rPr>
        <w:t>Constats localisés et chronologie qualifiée.</w:t>
      </w:r>
    </w:p>
    <w:p>
      <w:pPr>
        <w:numPr>
          <w:ilvl w:val="0"/>
          <w:numId w:val="10"/>
        </w:numPr>
      </w:pPr>
      <w:r>
        <w:rPr>
          <w:rFonts w:ascii="Arial" w:hAnsi="Arial"/>
          <w:b w:val="0"/>
          <w:i w:val="0"/>
          <w:color w:val="20282D"/>
          <w:sz w:val="21"/>
        </w:rPr>
        <w:t>Analyse par point, hypothèses et contradictions.</w:t>
      </w:r>
    </w:p>
    <w:p>
      <w:pPr>
        <w:numPr>
          <w:ilvl w:val="0"/>
          <w:numId w:val="10"/>
        </w:numPr>
      </w:pPr>
      <w:r>
        <w:rPr>
          <w:rFonts w:ascii="Arial" w:hAnsi="Arial"/>
          <w:b w:val="0"/>
          <w:i w:val="0"/>
          <w:color w:val="20282D"/>
          <w:sz w:val="21"/>
        </w:rPr>
        <w:t>Réponses graduées, suites utiles et annexes reliées.</w:t>
      </w:r>
    </w:p>
    <w:p>
      <w:pPr>
        <w:pStyle w:val="Heading2"/>
      </w:pPr>
      <w:r>
        <w:t>Quatre degrés honnêtes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Établie dans le champ examiné.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Hypothèse privilégiée avec manque significatif.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Hypothèses non départagées.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Impossibilité de conclure sur le point.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AF0F3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Fil de preuve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Point de mission -&gt; pièce ou constat -&gt; statut -&gt; inférence -&gt; contradiction -&gt; conclusion et limite.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7F3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Investigation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Nommer l'incertitude, les résultats possibles, leur effet sur la décision, l'autorisation, la compétence et la trace attendue.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Contradiction, données et relecture</w:t>
      </w:r>
    </w:p>
    <w:p>
      <w:pPr>
        <w:pStyle w:val="Heading2"/>
      </w:pPr>
      <w:r>
        <w:t>Suite donnée à une observation</w:t>
      </w:r>
    </w:p>
    <w:p>
      <w:pPr>
        <w:numPr>
          <w:ilvl w:val="0"/>
          <w:numId w:val="11"/>
        </w:numPr>
      </w:pPr>
      <w:r>
        <w:rPr>
          <w:rFonts w:ascii="Arial" w:hAnsi="Arial"/>
          <w:b w:val="0"/>
          <w:i w:val="0"/>
          <w:color w:val="20282D"/>
          <w:sz w:val="21"/>
        </w:rPr>
        <w:t>Reformuler.</w:t>
      </w:r>
    </w:p>
    <w:p>
      <w:pPr>
        <w:numPr>
          <w:ilvl w:val="0"/>
          <w:numId w:val="11"/>
        </w:numPr>
      </w:pPr>
      <w:r>
        <w:rPr>
          <w:rFonts w:ascii="Arial" w:hAnsi="Arial"/>
          <w:b w:val="0"/>
          <w:i w:val="0"/>
          <w:color w:val="20282D"/>
          <w:sz w:val="21"/>
        </w:rPr>
        <w:t>Qualifier la pièce.</w:t>
      </w:r>
    </w:p>
    <w:p>
      <w:pPr>
        <w:numPr>
          <w:ilvl w:val="0"/>
          <w:numId w:val="11"/>
        </w:numPr>
      </w:pPr>
      <w:r>
        <w:rPr>
          <w:rFonts w:ascii="Arial" w:hAnsi="Arial"/>
          <w:b w:val="0"/>
          <w:i w:val="0"/>
          <w:color w:val="20282D"/>
          <w:sz w:val="21"/>
        </w:rPr>
        <w:t>Analyser la portée.</w:t>
      </w:r>
    </w:p>
    <w:p>
      <w:pPr>
        <w:numPr>
          <w:ilvl w:val="0"/>
          <w:numId w:val="11"/>
        </w:numPr>
      </w:pPr>
      <w:r>
        <w:rPr>
          <w:rFonts w:ascii="Arial" w:hAnsi="Arial"/>
          <w:b w:val="0"/>
          <w:i w:val="0"/>
          <w:color w:val="20282D"/>
          <w:sz w:val="21"/>
        </w:rPr>
        <w:t>Corriger, compléter, nuancer ou maintenir.</w:t>
      </w:r>
    </w:p>
    <w:p>
      <w:pPr>
        <w:numPr>
          <w:ilvl w:val="0"/>
          <w:numId w:val="11"/>
        </w:numPr>
      </w:pPr>
      <w:r>
        <w:rPr>
          <w:rFonts w:ascii="Arial" w:hAnsi="Arial"/>
          <w:b w:val="0"/>
          <w:i w:val="0"/>
          <w:color w:val="20282D"/>
          <w:sz w:val="21"/>
        </w:rPr>
        <w:t>Motiver et localiser.</w:t>
      </w:r>
    </w:p>
    <w:p>
      <w:pPr>
        <w:pStyle w:val="Heading2"/>
      </w:pPr>
      <w:r>
        <w:t>Sept passes du lecteur adverse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Portée.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Pièces et versions.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Raisonnement.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Cohérence.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Contradiction.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Données personnelles.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Lecture et accessibilité.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Données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Ne conserver que les données nécessaires, limiter les destinataires, utiliser un canal adapté et définir la conservation selon la finalité et les obligations applicables.</w:t>
            </w:r>
          </w:p>
        </w:tc>
      </w:tr>
    </w:tbl>
    <w:p>
      <w:pPr>
        <w:spacing w:after="20"/>
      </w:pPr>
    </w:p>
    <w:p>
      <w:pPr>
        <w:spacing w:before="100" w:after="40"/>
      </w:pPr>
      <w:r>
        <w:rPr>
          <w:rFonts w:ascii="Arial" w:hAnsi="Arial"/>
          <w:b w:val="0"/>
          <w:i/>
          <w:color w:val="5D686E"/>
          <w:sz w:val="16"/>
        </w:rPr>
        <w:t>Repère documentaire : Références détaillées dans le cours maître P-05 : Légifrance, CNIL et Cour de cassation.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935" w:bottom="879" w:left="935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5D686E"/>
        <w:sz w:val="16"/>
      </w:rPr>
      <w:t>P-05  |  Diagnostic expert et rédaction de rapports  |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Arial" w:hAnsi="Arial"/>
        <w:b/>
        <w:i w:val="0"/>
        <w:color w:val="994A28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  <w:spacing w:after="80" w:line="278" w:lineRule="auto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  <w:spacing w:after="80" w:line="278" w:lineRule="auto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8" w:lineRule="auto"/>
    </w:pPr>
    <w:rPr>
      <w:rFonts w:ascii="Arial" w:hAnsi="Arial"/>
      <w:color w:val="2028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243746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994A28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637565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243746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P-05 - Aide-mémoire</dc:title>
  <dc:subject>Diagnostic expert et rédaction de rapports</dc:subject>
  <dc:creator>Institut de l'Expertise en Bâtiment</dc:creator>
  <cp:keywords>expertise bâtiment, rapport, preuve, contradiction, TRACE</cp:keywords>
  <dc:description>Ressource apprenant - cas entièrement fictif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