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/>
      </w:pPr>
      <w:r>
        <w:rPr>
          <w:rFonts w:ascii="Arial" w:hAnsi="Arial"/>
          <w:b/>
          <w:i w:val="0"/>
          <w:color w:val="A7552D"/>
          <w:sz w:val="18"/>
        </w:rPr>
        <w:t>T-02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173E4E"/>
          <w:sz w:val="52"/>
        </w:rPr>
        <w:t>AIDE-MÉMOIRE</w:t>
      </w:r>
    </w:p>
    <w:p>
      <w:r>
        <w:rPr>
          <w:rFonts w:ascii="Arial" w:hAnsi="Arial"/>
          <w:b/>
          <w:i w:val="0"/>
          <w:color w:val="315C4B"/>
          <w:sz w:val="26"/>
        </w:rPr>
        <w:t>De l'offre bornée au plan 90 jours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4 pages | repère de décision | aucune durée additionnelle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648000"/>
            <wp:docPr id="1" name="Picture 1" descr="Carte originale IEB de l'offre bornée : offre reliée aux sept champs cible, situation, décision, livrable, appuis, exclusions et relais. Le Projet Balise est entièrement synthétiqu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2-000001__carte-offre-bornee__v0.2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6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E6662"/>
          <w:sz w:val="17"/>
        </w:rPr>
        <w:t>Carte originale IEB de l'offre bornée : offre reliée aux sept champs cible, situation, décision, livrable, appuis, exclusions et relais. Le Projet Balise est entièrement synthétique.</w:t>
      </w:r>
    </w:p>
    <w:p>
      <w:r>
        <w:rPr>
          <w:rFonts w:ascii="Arial" w:hAnsi="Arial"/>
          <w:b w:val="0"/>
          <w:i/>
          <w:color w:val="242928"/>
          <w:sz w:val="22"/>
        </w:rPr>
        <w:t>Une offre bornée, des protections vérifiées et une économie pilotée permettent de décider quoi accepter, décaler, refuser ou orienter.</w:t>
      </w:r>
    </w:p>
    <w:p>
      <w:r>
        <w:br w:type="page"/>
      </w:r>
    </w:p>
    <w:p>
      <w:pPr>
        <w:pStyle w:val="Heading1"/>
      </w:pPr>
      <w:r>
        <w:t>Offre et qualification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Carte d'offre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de contrôle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Cible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Pour qui et dans quelle situation précise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Situation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 déclencheur observable justifie une instruction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Décision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 décision le livrable doit-il éclairer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Livrable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 sortie vérifiable est remise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Appuis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Quelles preuves de capacité et quels moyens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Exclusions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Qu'est-ce qui reste hors champ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Relais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Qui saisir lorsque la porte se ferme ?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Quatre sorties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[A] Accepter si les contrôles critiques ferment ; [?] Clarifier si une information peut lever le doute ; [R] Refuser si la promesse resterait non admissible ; [→] Orienter lorsqu'une autre compétence est nécessaire.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Demandeur : Qui commande, qui paie et qui peut engager la décision ?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Usage : Quelle décision le livrable doit-il éclairer ?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Objet : Quelles zones, manifestations, pièces et périodes sont visées ?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Compétence : L'acte demandé relève-t-il de capacités démontrables ?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Conflit : Une relation, un intérêt ou un mandat antérieur affecte-t-il l'indépendance ?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Accès : Autorisations, sécurité, disponibilité des zones et moyens sont-ils confirmés ?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Délai : Le temps disponible permet-il une prestation de qualité et une relecture ?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Assurance : L'activité, les actes, clients, livrables, territoire et montants sont-ils décrits à l'assureur ?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Destinataires : Qui recevra quoi, pour quel usage et par quel canal ?</w:t>
      </w:r>
    </w:p>
    <w:p>
      <w:r>
        <w:br w:type="page"/>
      </w:r>
    </w:p>
    <w:p>
      <w:pPr>
        <w:pStyle w:val="Heading1"/>
      </w:pPr>
      <w:r>
        <w:t>Cadre, protections et économie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CHOIX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Collectif/gouvernance — Horizon — Obligations — Imposition/protection sociale — eXposition/financement. Comparer, sourcer, dater et passer le relais ; ne pas choisir par automatisme.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Bouclier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Trace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Promettre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Version acceptée et périmètre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Informer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Support remis et date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Consentir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Signature ou trace équivalente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Couvrir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Écrit de l'assureur, attestation et police contrôlée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Tracer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Index et journal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Facturer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Facture et suivi d'encaissement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Réclamer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Journal et réponse versionnée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Prix-capacité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Capacité facturable prudente = disponible − administration − acquisition − qualité/développement interne − marge d'aléa. Repère interne = besoin mensuel ÷ capacité. Ajouter les coûts directs, puis tester durée, marché, taxes, encaissement et mois dégradé.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Toujours écrire l'unité et la période.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Séparer facturé, encaissé et revenu disponible.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Refuser un volume qui dépasse la capacité ou masque la qualité.</w:t>
      </w:r>
    </w:p>
    <w:p>
      <w:r>
        <w:br w:type="page"/>
      </w:r>
    </w:p>
    <w:p>
      <w:pPr>
        <w:pStyle w:val="Heading1"/>
      </w:pPr>
      <w:r>
        <w:t>Acquisition, flux et plan 90 jours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PREUVE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Problème reconnu — Résultat attendu — Étendue — Utilité — Vérifiabilité — Étape suivante. Contrôler d'abord destinataire, provenance, canal, information et choix.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Flux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Contact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Origine et canal sont-ils tracés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Qualifié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Une sortie est-elle motivée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Proposition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 version et quelle date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Mission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Accord, protections et capacité sont-ils admis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Livré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livrable a-t-il été relu et remis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Facturé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 facture a-t-elle été émise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Encaissé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paiement a-t-il été reçu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Recommandé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 mise en relation est-elle explicite ?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Expérience 90 jours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Hypothèse — action limitée — indicateur — date de lecture — décision continuer, modifier ou arrêter. Ajouter responsable, trace, critère d'arrêt et passage de relais.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E6662"/>
          <w:sz w:val="16"/>
        </w:rPr>
        <w:t>Repère documentaire : Références officielles, localisations et limites dans le support T-02.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E6662"/>
        <w:sz w:val="16"/>
      </w:rPr>
      <w:t>T-02  |  Créer et développer son activité d'expert  |  0.2.0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A7552D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4292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73E4E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A7552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315C4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3E4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T-02 - Aide-mémoire</dc:title>
  <dc:subject>Créer et développer son activité d'expert</dc:subject>
  <dc:creator>Institut de l'Expertise en Bâtiment</dc:creator>
  <cp:keywords>offre, qualification, cadre, assurance, capacité, prix, acquisition, pilotage</cp:keywords>
  <dc:description>Ressource apprenant - Projet Balise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