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C-02  |  PARCOURS OPÉRATIONNEL</w:t>
      </w:r>
    </w:p>
    <w:p>
      <w:pPr>
        <w:pStyle w:val="Title"/>
      </w:pPr>
      <w:r>
        <w:rPr>
          <w:rFonts w:ascii="Calibri" w:hAnsi="Calibri"/>
          <w:b/>
          <w:i w:val="0"/>
          <w:color w:val="24493D"/>
          <w:sz w:val="52"/>
        </w:rPr>
        <w:t>CAHIER D'ACTIVITÉS</w:t>
      </w:r>
    </w:p>
    <w:p>
      <w:r>
        <w:rPr>
          <w:rFonts w:ascii="Calibri" w:hAnsi="Calibri"/>
          <w:b/>
          <w:i w:val="0"/>
          <w:color w:val="315F78"/>
          <w:sz w:val="26"/>
        </w:rPr>
        <w:t>Dossier progressif de l'opération Belvédère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6 ensembles matérialisés | scénario intégralement synthétique | réponses personnelles</w:t>
            </w:r>
          </w:p>
        </w:tc>
      </w:tr>
    </w:tbl>
    <w:p>
      <w:pPr>
        <w:spacing w:after="20"/>
      </w:pPr>
    </w:p>
    <w:p>
      <w:pPr>
        <w:jc w:val="center"/>
      </w:pPr>
      <w:r>
        <w:drawing>
          <wp:inline xmlns:a="http://schemas.openxmlformats.org/drawingml/2006/main" xmlns:pic="http://schemas.openxmlformats.org/drawingml/2006/picture">
            <wp:extent cx="5623560" cy="3374136"/>
            <wp:docPr id="1" name="Picture 1"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3"/>
                    <a:stretch>
                      <a:fillRect/>
                    </a:stretch>
                  </pic:blipFill>
                  <pic:spPr>
                    <a:xfrm>
                      <a:off x="0" y="0"/>
                      <a:ext cx="5623560" cy="3374136"/>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p>
      <w:r>
        <w:rPr>
          <w:rFonts w:ascii="Calibri" w:hAnsi="Calibri"/>
          <w:b w:val="0"/>
          <w:i/>
          <w:color w:val="252A2C"/>
          <w:sz w:val="22"/>
        </w:rPr>
        <w:t>Qualifier le régime, la date et les preuves avant de conclure ; rapprocher toujours le calcul, l'état exécuté et les pièces disponibles.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Usage — </w:t>
            </w:r>
            <w:r>
              <w:rPr>
                <w:rFonts w:ascii="Calibri" w:hAnsi="Calibri"/>
                <w:b w:val="0"/>
                <w:i w:val="0"/>
                <w:color w:val="252A2C"/>
                <w:sz w:val="21"/>
              </w:rPr>
              <w:t>Travaillez uniquement sur les données fictives du cahier. N'ajoutez aucune information réelle, donnée personnelle, extrait de norme, méthode de calcul ou guide protégé.</w:t>
            </w:r>
          </w:p>
        </w:tc>
      </w:tr>
    </w:tbl>
    <w:p>
      <w:pPr>
        <w:spacing w:after="20"/>
      </w:pPr>
    </w:p>
    <w:p>
      <w:pPr>
        <w:pStyle w:val="Heading1"/>
        <w:pageBreakBefore/>
      </w:pPr>
      <w:r>
        <w:rPr>
          <w:rFonts w:ascii="Calibri" w:hAnsi="Calibri"/>
          <w:b/>
          <w:i w:val="0"/>
          <w:color w:val="24493D"/>
          <w:sz w:val="32"/>
        </w:rPr>
        <w:t>Ensemble 1 — Jeu des régimes et des dates</w:t>
      </w:r>
    </w:p>
    <w:p>
      <w:pPr>
        <w:jc w:val="center"/>
      </w:pPr>
      <w:r>
        <w:drawing>
          <wp:inline xmlns:a="http://schemas.openxmlformats.org/drawingml/2006/main" xmlns:pic="http://schemas.openxmlformats.org/drawingml/2006/picture">
            <wp:extent cx="5486400" cy="3291840"/>
            <wp:docPr id="2" name="Picture 2"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3"/>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tbl>
      <w:tblPr>
        <w:tblStyle w:val="TableGrid"/>
        <w:jc w:val="center"/>
        <w:tblLook w:firstColumn="1" w:firstRow="1" w:lastColumn="0" w:lastRow="0" w:noHBand="0" w:noVBand="1" w:val="04A0"/>
        <w:tblW w:w="9360" w:type="dxa"/>
        <w:tblInd w:w="120" w:type="dxa"/>
        <w:tblLayout w:type="fixed"/>
      </w:tblPr>
      <w:tblGrid>
        <w:gridCol w:w="891"/>
        <w:gridCol w:w="1560"/>
        <w:gridCol w:w="1671"/>
        <w:gridCol w:w="2451"/>
        <w:gridCol w:w="2787"/>
      </w:tblGrid>
      <w:tr>
        <w:trPr>
          <w:tblHeader w:val="true"/>
          <w:cantSplit w:val="true"/>
        </w:trPr>
        <w:tc>
          <w:tcPr>
            <w:tcW w:type="dxa" w:w="891"/>
            <w:shd w:fill="24493D"/>
            <w:tcMar>
              <w:top w:w="80" w:type="dxa"/>
              <w:start w:w="120" w:type="dxa"/>
              <w:bottom w:w="80" w:type="dxa"/>
              <w:end w:w="120" w:type="dxa"/>
            </w:tcMar>
            <w:vAlign w:val="center"/>
          </w:tcPr>
          <w:p>
            <w:pPr>
              <w:spacing w:after="0"/>
            </w:pPr>
            <w:r>
              <w:rPr>
                <w:rFonts w:ascii="Calibri" w:hAnsi="Calibri"/>
                <w:b/>
                <w:i w:val="0"/>
                <w:color w:val="FFFFFF"/>
                <w:sz w:val="18"/>
              </w:rPr>
              <w:t>Carte</w:t>
            </w:r>
          </w:p>
        </w:tc>
        <w:tc>
          <w:tcPr>
            <w:tcW w:type="dxa" w:w="1560"/>
            <w:shd w:fill="24493D"/>
            <w:tcMar>
              <w:top w:w="80" w:type="dxa"/>
              <w:start w:w="120" w:type="dxa"/>
              <w:bottom w:w="80" w:type="dxa"/>
              <w:end w:w="120" w:type="dxa"/>
            </w:tcMar>
            <w:vAlign w:val="center"/>
          </w:tcPr>
          <w:p>
            <w:pPr>
              <w:spacing w:after="0"/>
            </w:pPr>
            <w:r>
              <w:rPr>
                <w:rFonts w:ascii="Calibri" w:hAnsi="Calibri"/>
                <w:b/>
                <w:i w:val="0"/>
                <w:color w:val="FFFFFF"/>
                <w:sz w:val="18"/>
              </w:rPr>
              <w:t>Nature</w:t>
            </w:r>
          </w:p>
        </w:tc>
        <w:tc>
          <w:tcPr>
            <w:tcW w:type="dxa" w:w="1671"/>
            <w:shd w:fill="24493D"/>
            <w:tcMar>
              <w:top w:w="80" w:type="dxa"/>
              <w:start w:w="120" w:type="dxa"/>
              <w:bottom w:w="80" w:type="dxa"/>
              <w:end w:w="120" w:type="dxa"/>
            </w:tcMar>
            <w:vAlign w:val="center"/>
          </w:tcPr>
          <w:p>
            <w:pPr>
              <w:spacing w:after="0"/>
            </w:pPr>
            <w:r>
              <w:rPr>
                <w:rFonts w:ascii="Calibri" w:hAnsi="Calibri"/>
                <w:b/>
                <w:i w:val="0"/>
                <w:color w:val="FFFFFF"/>
                <w:sz w:val="18"/>
              </w:rPr>
              <w:t>Usage</w:t>
            </w:r>
          </w:p>
        </w:tc>
        <w:tc>
          <w:tcPr>
            <w:tcW w:type="dxa" w:w="2451"/>
            <w:shd w:fill="24493D"/>
            <w:tcMar>
              <w:top w:w="80" w:type="dxa"/>
              <w:start w:w="120" w:type="dxa"/>
              <w:bottom w:w="80" w:type="dxa"/>
              <w:end w:w="120" w:type="dxa"/>
            </w:tcMar>
            <w:vAlign w:val="center"/>
          </w:tcPr>
          <w:p>
            <w:pPr>
              <w:spacing w:after="0"/>
            </w:pPr>
            <w:r>
              <w:rPr>
                <w:rFonts w:ascii="Calibri" w:hAnsi="Calibri"/>
                <w:b/>
                <w:i w:val="0"/>
                <w:color w:val="FFFFFF"/>
                <w:sz w:val="18"/>
              </w:rPr>
              <w:t>Contrôles</w:t>
            </w:r>
          </w:p>
        </w:tc>
        <w:tc>
          <w:tcPr>
            <w:tcW w:type="dxa" w:w="2787"/>
            <w:shd w:fill="24493D"/>
            <w:tcMar>
              <w:top w:w="80" w:type="dxa"/>
              <w:start w:w="120" w:type="dxa"/>
              <w:bottom w:w="80" w:type="dxa"/>
              <w:end w:w="120" w:type="dxa"/>
            </w:tcMar>
            <w:vAlign w:val="center"/>
          </w:tcPr>
          <w:p>
            <w:pPr>
              <w:spacing w:after="0"/>
            </w:pPr>
            <w:r>
              <w:rPr>
                <w:rFonts w:ascii="Calibri" w:hAnsi="Calibri"/>
                <w:b/>
                <w:i w:val="0"/>
                <w:color w:val="FFFFFF"/>
                <w:sz w:val="18"/>
              </w:rPr>
              <w:t>Première piste</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R01</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habitation</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surface + formalité + date</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RE2020 habitation à qualifier</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R02</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bureau</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dépôt depuis juillet 2022</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RE2020 tertiaire déjà couvert</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R03</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enseignement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dépôt depuis juillet 2022</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RE2020 tertiaire déjà couvert</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R04</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médiathèque</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dépôt depuis mai 2026</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champ tertiaire étendu en 2026</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R05</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commerce</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dépôt depuis mai 2026</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champ tertiaire étendu en 2026</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R06</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bâtiment neuf</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activité artisanale</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dépôt depuis mai 2026</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champ étendu à vérifier</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R07</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extension</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habitation</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surface + lien au bâtiment</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régime et exigence à qualifier</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R08</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extension</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tertiaire</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usage + surface + date</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régime et exigence à qualifier</w:t>
            </w:r>
          </w:p>
        </w:tc>
      </w:tr>
    </w:tbl>
    <w:p>
      <w:pPr>
        <w:spacing w:after="20"/>
      </w:pPr>
    </w:p>
    <w:p>
      <w:pPr>
        <w:pStyle w:val="Heading1"/>
        <w:pageBreakBefore/>
      </w:pPr>
      <w:r>
        <w:rPr>
          <w:rFonts w:ascii="Calibri" w:hAnsi="Calibri"/>
          <w:b/>
          <w:i w:val="0"/>
          <w:color w:val="24493D"/>
          <w:sz w:val="32"/>
        </w:rPr>
        <w:t>Jeu des régimes — cartes R09 à R16</w:t>
      </w:r>
    </w:p>
    <w:tbl>
      <w:tblPr>
        <w:tblStyle w:val="TableGrid"/>
        <w:jc w:val="center"/>
        <w:tblLook w:firstColumn="1" w:firstRow="1" w:lastColumn="0" w:lastRow="0" w:noHBand="0" w:noVBand="1" w:val="04A0"/>
        <w:tblW w:w="9360" w:type="dxa"/>
        <w:tblInd w:w="120" w:type="dxa"/>
        <w:tblLayout w:type="fixed"/>
      </w:tblPr>
      <w:tblGrid>
        <w:gridCol w:w="891"/>
        <w:gridCol w:w="1560"/>
        <w:gridCol w:w="1671"/>
        <w:gridCol w:w="2451"/>
        <w:gridCol w:w="2787"/>
      </w:tblGrid>
      <w:tr>
        <w:trPr>
          <w:tblHeader w:val="true"/>
          <w:cantSplit w:val="true"/>
        </w:trPr>
        <w:tc>
          <w:tcPr>
            <w:tcW w:type="dxa" w:w="891"/>
            <w:shd w:fill="24493D"/>
            <w:tcMar>
              <w:top w:w="80" w:type="dxa"/>
              <w:start w:w="120" w:type="dxa"/>
              <w:bottom w:w="80" w:type="dxa"/>
              <w:end w:w="120" w:type="dxa"/>
            </w:tcMar>
            <w:vAlign w:val="center"/>
          </w:tcPr>
          <w:p>
            <w:pPr>
              <w:spacing w:after="0"/>
            </w:pPr>
            <w:r>
              <w:rPr>
                <w:rFonts w:ascii="Calibri" w:hAnsi="Calibri"/>
                <w:b/>
                <w:i w:val="0"/>
                <w:color w:val="FFFFFF"/>
                <w:sz w:val="18"/>
              </w:rPr>
              <w:t>Carte</w:t>
            </w:r>
          </w:p>
        </w:tc>
        <w:tc>
          <w:tcPr>
            <w:tcW w:type="dxa" w:w="1560"/>
            <w:shd w:fill="24493D"/>
            <w:tcMar>
              <w:top w:w="80" w:type="dxa"/>
              <w:start w:w="120" w:type="dxa"/>
              <w:bottom w:w="80" w:type="dxa"/>
              <w:end w:w="120" w:type="dxa"/>
            </w:tcMar>
            <w:vAlign w:val="center"/>
          </w:tcPr>
          <w:p>
            <w:pPr>
              <w:spacing w:after="0"/>
            </w:pPr>
            <w:r>
              <w:rPr>
                <w:rFonts w:ascii="Calibri" w:hAnsi="Calibri"/>
                <w:b/>
                <w:i w:val="0"/>
                <w:color w:val="FFFFFF"/>
                <w:sz w:val="18"/>
              </w:rPr>
              <w:t>Nature</w:t>
            </w:r>
          </w:p>
        </w:tc>
        <w:tc>
          <w:tcPr>
            <w:tcW w:type="dxa" w:w="1671"/>
            <w:shd w:fill="24493D"/>
            <w:tcMar>
              <w:top w:w="80" w:type="dxa"/>
              <w:start w:w="120" w:type="dxa"/>
              <w:bottom w:w="80" w:type="dxa"/>
              <w:end w:w="120" w:type="dxa"/>
            </w:tcMar>
            <w:vAlign w:val="center"/>
          </w:tcPr>
          <w:p>
            <w:pPr>
              <w:spacing w:after="0"/>
            </w:pPr>
            <w:r>
              <w:rPr>
                <w:rFonts w:ascii="Calibri" w:hAnsi="Calibri"/>
                <w:b/>
                <w:i w:val="0"/>
                <w:color w:val="FFFFFF"/>
                <w:sz w:val="18"/>
              </w:rPr>
              <w:t>Usage</w:t>
            </w:r>
          </w:p>
        </w:tc>
        <w:tc>
          <w:tcPr>
            <w:tcW w:type="dxa" w:w="2451"/>
            <w:shd w:fill="24493D"/>
            <w:tcMar>
              <w:top w:w="80" w:type="dxa"/>
              <w:start w:w="120" w:type="dxa"/>
              <w:bottom w:w="80" w:type="dxa"/>
              <w:end w:w="120" w:type="dxa"/>
            </w:tcMar>
            <w:vAlign w:val="center"/>
          </w:tcPr>
          <w:p>
            <w:pPr>
              <w:spacing w:after="0"/>
            </w:pPr>
            <w:r>
              <w:rPr>
                <w:rFonts w:ascii="Calibri" w:hAnsi="Calibri"/>
                <w:b/>
                <w:i w:val="0"/>
                <w:color w:val="FFFFFF"/>
                <w:sz w:val="18"/>
              </w:rPr>
              <w:t>Contrôles</w:t>
            </w:r>
          </w:p>
        </w:tc>
        <w:tc>
          <w:tcPr>
            <w:tcW w:type="dxa" w:w="2787"/>
            <w:shd w:fill="24493D"/>
            <w:tcMar>
              <w:top w:w="80" w:type="dxa"/>
              <w:start w:w="120" w:type="dxa"/>
              <w:bottom w:w="80" w:type="dxa"/>
              <w:end w:w="120" w:type="dxa"/>
            </w:tcMar>
            <w:vAlign w:val="center"/>
          </w:tcPr>
          <w:p>
            <w:pPr>
              <w:spacing w:after="0"/>
            </w:pPr>
            <w:r>
              <w:rPr>
                <w:rFonts w:ascii="Calibri" w:hAnsi="Calibri"/>
                <w:b/>
                <w:i w:val="0"/>
                <w:color w:val="FFFFFF"/>
                <w:sz w:val="18"/>
              </w:rPr>
              <w:t>Première piste</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R09</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rénovation</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nature des travaux</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RT existant par élément possible</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R10</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rénovation lourde</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surface + coût + date</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RT existant globale possible</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R11</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travaux embarqués</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ravalement / toiture / aménagement</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obligation associée à vérifier</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R12</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diagnostic</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tout bâtiment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vente / location / information</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DPE : diagnostic, pas attestation RE2020</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R13</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construction neuve</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DROM</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géographie</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R.172-1 ne s'applique pas tel quel</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R14</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partie nouvelle</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mixte</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découpage par partie</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ne pas globaliser le projet</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R15</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changement d'usage</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travaux réellement prévus</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ne pas déduire du seul nouvel usage</w:t>
            </w:r>
          </w:p>
        </w:tc>
      </w:tr>
      <w:tr>
        <w:trPr>
          <w:cantSplit w:val="true"/>
        </w:trPr>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R16</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variante chantier</w:t>
            </w:r>
          </w:p>
        </w:tc>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neuf / existant</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objet + indicateurs + preuves</w:t>
            </w:r>
          </w:p>
        </w:tc>
        <w:tc>
          <w:tcPr>
            <w:tcW w:type="dxa" w:w="2787"/>
            <w:tcMar>
              <w:top w:w="80" w:type="dxa"/>
              <w:start w:w="120" w:type="dxa"/>
              <w:bottom w:w="80" w:type="dxa"/>
              <w:end w:w="120" w:type="dxa"/>
            </w:tcMar>
            <w:vAlign w:val="center"/>
          </w:tcPr>
          <w:p>
            <w:pPr>
              <w:spacing w:after="0"/>
            </w:pPr>
            <w:r>
              <w:rPr>
                <w:rFonts w:ascii="Calibri" w:hAnsi="Calibri"/>
                <w:b w:val="0"/>
                <w:i w:val="0"/>
                <w:color w:val="252A2C"/>
                <w:sz w:val="18"/>
              </w:rPr>
              <w:t>recalcul ou contrôle ciblé</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2592"/>
        <w:gridCol w:w="6768"/>
      </w:tblGrid>
      <w:tr>
        <w:trPr>
          <w:tblHeader w:val="true"/>
          <w:cantSplit w:val="true"/>
        </w:trPr>
        <w:tc>
          <w:tcPr>
            <w:tcW w:type="dxa" w:w="2592"/>
            <w:shd w:fill="24493D"/>
            <w:tcMar>
              <w:top w:w="80" w:type="dxa"/>
              <w:start w:w="120" w:type="dxa"/>
              <w:bottom w:w="80" w:type="dxa"/>
              <w:end w:w="120" w:type="dxa"/>
            </w:tcMar>
            <w:vAlign w:val="center"/>
          </w:tcPr>
          <w:p>
            <w:pPr>
              <w:spacing w:after="0"/>
            </w:pPr>
            <w:r>
              <w:rPr>
                <w:rFonts w:ascii="Calibri" w:hAnsi="Calibri"/>
                <w:b/>
                <w:i w:val="0"/>
                <w:color w:val="FFFFFF"/>
                <w:sz w:val="18"/>
              </w:rPr>
              <w:t>Date charnière</w:t>
            </w:r>
          </w:p>
        </w:tc>
        <w:tc>
          <w:tcPr>
            <w:tcW w:type="dxa" w:w="6768"/>
            <w:shd w:fill="24493D"/>
            <w:tcMar>
              <w:top w:w="80" w:type="dxa"/>
              <w:start w:w="120" w:type="dxa"/>
              <w:bottom w:w="80" w:type="dxa"/>
              <w:end w:w="120" w:type="dxa"/>
            </w:tcMar>
            <w:vAlign w:val="center"/>
          </w:tcPr>
          <w:p>
            <w:pPr>
              <w:spacing w:after="0"/>
            </w:pPr>
            <w:r>
              <w:rPr>
                <w:rFonts w:ascii="Calibri" w:hAnsi="Calibri"/>
                <w:b/>
                <w:i w:val="0"/>
                <w:color w:val="FFFFFF"/>
                <w:sz w:val="18"/>
              </w:rPr>
              <w:t>Usage pédagogique</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1er janvier 2022</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première entrée en vigueur résidentielle à qualifier</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1er juillet 2022</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bureaux et enseignement primaire ou secondaire à qualifier</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1er mai 2026</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extension à treize familles tertiaires, industrielles ou artisanales</w:t>
            </w:r>
          </w:p>
        </w:tc>
      </w:tr>
      <w:tr>
        <w:trPr>
          <w:cantSplit w:val="true"/>
        </w:trPr>
        <w:tc>
          <w:tcPr>
            <w:tcW w:type="dxa" w:w="2592"/>
            <w:tcMar>
              <w:top w:w="80" w:type="dxa"/>
              <w:start w:w="120" w:type="dxa"/>
              <w:bottom w:w="80" w:type="dxa"/>
              <w:end w:w="120" w:type="dxa"/>
            </w:tcMar>
            <w:vAlign w:val="center"/>
          </w:tcPr>
          <w:p>
            <w:pPr>
              <w:spacing w:after="0"/>
            </w:pPr>
            <w:r>
              <w:rPr>
                <w:rFonts w:ascii="Calibri" w:hAnsi="Calibri"/>
                <w:b w:val="0"/>
                <w:i w:val="0"/>
                <w:color w:val="252A2C"/>
                <w:sz w:val="18"/>
              </w:rPr>
              <w:t>1er juillet 2026</w:t>
            </w:r>
          </w:p>
        </w:tc>
        <w:tc>
          <w:tcPr>
            <w:tcW w:type="dxa" w:w="6768"/>
            <w:tcMar>
              <w:top w:w="80" w:type="dxa"/>
              <w:start w:w="120" w:type="dxa"/>
              <w:bottom w:w="80" w:type="dxa"/>
              <w:end w:w="120" w:type="dxa"/>
            </w:tcMar>
            <w:vAlign w:val="center"/>
          </w:tcPr>
          <w:p>
            <w:pPr>
              <w:spacing w:after="0"/>
            </w:pPr>
            <w:r>
              <w:rPr>
                <w:rFonts w:ascii="Calibri" w:hAnsi="Calibri"/>
                <w:b w:val="0"/>
                <w:i w:val="0"/>
                <w:color w:val="252A2C"/>
                <w:sz w:val="18"/>
              </w:rPr>
              <w:t>nouvelle bande de textes consolidés à sélectionner pour Belvédère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Choisissez six cartes : indiquez la formalité, la date, le texte à relire, une exception possible et la limite de votre conclusion.</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p>
      <w:pPr>
        <w:pStyle w:val="Heading1"/>
        <w:pageBreakBefore/>
      </w:pPr>
      <w:r>
        <w:rPr>
          <w:rFonts w:ascii="Calibri" w:hAnsi="Calibri"/>
          <w:b/>
          <w:i w:val="0"/>
          <w:color w:val="24493D"/>
          <w:sz w:val="32"/>
        </w:rPr>
        <w:t>Ensemble 2 — Dossier synthétique Belvédère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Programme — </w:t>
            </w:r>
            <w:r>
              <w:rPr>
                <w:rFonts w:ascii="Calibri" w:hAnsi="Calibri"/>
                <w:b w:val="0"/>
                <w:i w:val="0"/>
                <w:color w:val="252A2C"/>
                <w:sz w:val="21"/>
              </w:rPr>
              <w:t>Douze logements neufs, une médiathèque neuve, un commerce neuf livré aménagé et une aile existante de 780 m² rénovée. Dépôt fictif : 20 août 2026.</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745"/>
        <w:gridCol w:w="1489"/>
        <w:gridCol w:w="1276"/>
        <w:gridCol w:w="1489"/>
        <w:gridCol w:w="1915"/>
        <w:gridCol w:w="2446"/>
      </w:tblGrid>
      <w:tr>
        <w:trPr>
          <w:tblHeader w:val="true"/>
          <w:cantSplit w:val="true"/>
        </w:trPr>
        <w:tc>
          <w:tcPr>
            <w:tcW w:type="dxa" w:w="745"/>
            <w:shd w:fill="24493D"/>
            <w:tcMar>
              <w:top w:w="80" w:type="dxa"/>
              <w:start w:w="120" w:type="dxa"/>
              <w:bottom w:w="80" w:type="dxa"/>
              <w:end w:w="120" w:type="dxa"/>
            </w:tcMar>
            <w:vAlign w:val="center"/>
          </w:tcPr>
          <w:p>
            <w:pPr>
              <w:spacing w:after="0"/>
            </w:pPr>
            <w:r>
              <w:rPr>
                <w:rFonts w:ascii="Calibri" w:hAnsi="Calibri"/>
                <w:b/>
                <w:i w:val="0"/>
                <w:color w:val="FFFFFF"/>
                <w:sz w:val="18"/>
              </w:rPr>
              <w:t>ID</w:t>
            </w:r>
          </w:p>
        </w:tc>
        <w:tc>
          <w:tcPr>
            <w:tcW w:type="dxa" w:w="1489"/>
            <w:shd w:fill="24493D"/>
            <w:tcMar>
              <w:top w:w="80" w:type="dxa"/>
              <w:start w:w="120" w:type="dxa"/>
              <w:bottom w:w="80" w:type="dxa"/>
              <w:end w:w="120" w:type="dxa"/>
            </w:tcMar>
            <w:vAlign w:val="center"/>
          </w:tcPr>
          <w:p>
            <w:pPr>
              <w:spacing w:after="0"/>
            </w:pPr>
            <w:r>
              <w:rPr>
                <w:rFonts w:ascii="Calibri" w:hAnsi="Calibri"/>
                <w:b/>
                <w:i w:val="0"/>
                <w:color w:val="FFFFFF"/>
                <w:sz w:val="18"/>
              </w:rPr>
              <w:t>Partie</w:t>
            </w:r>
          </w:p>
        </w:tc>
        <w:tc>
          <w:tcPr>
            <w:tcW w:type="dxa" w:w="1276"/>
            <w:shd w:fill="24493D"/>
            <w:tcMar>
              <w:top w:w="80" w:type="dxa"/>
              <w:start w:w="120" w:type="dxa"/>
              <w:bottom w:w="80" w:type="dxa"/>
              <w:end w:w="120" w:type="dxa"/>
            </w:tcMar>
            <w:vAlign w:val="center"/>
          </w:tcPr>
          <w:p>
            <w:pPr>
              <w:spacing w:after="0"/>
            </w:pPr>
            <w:r>
              <w:rPr>
                <w:rFonts w:ascii="Calibri" w:hAnsi="Calibri"/>
                <w:b/>
                <w:i w:val="0"/>
                <w:color w:val="FFFFFF"/>
                <w:sz w:val="18"/>
              </w:rPr>
              <w:t>Nature</w:t>
            </w:r>
          </w:p>
        </w:tc>
        <w:tc>
          <w:tcPr>
            <w:tcW w:type="dxa" w:w="1489"/>
            <w:shd w:fill="24493D"/>
            <w:tcMar>
              <w:top w:w="80" w:type="dxa"/>
              <w:start w:w="120" w:type="dxa"/>
              <w:bottom w:w="80" w:type="dxa"/>
              <w:end w:w="120" w:type="dxa"/>
            </w:tcMar>
            <w:vAlign w:val="center"/>
          </w:tcPr>
          <w:p>
            <w:pPr>
              <w:spacing w:after="0"/>
            </w:pPr>
            <w:r>
              <w:rPr>
                <w:rFonts w:ascii="Calibri" w:hAnsi="Calibri"/>
                <w:b/>
                <w:i w:val="0"/>
                <w:color w:val="FFFFFF"/>
                <w:sz w:val="18"/>
              </w:rPr>
              <w:t>Usage</w:t>
            </w:r>
          </w:p>
        </w:tc>
        <w:tc>
          <w:tcPr>
            <w:tcW w:type="dxa" w:w="1915"/>
            <w:shd w:fill="24493D"/>
            <w:tcMar>
              <w:top w:w="80" w:type="dxa"/>
              <w:start w:w="120" w:type="dxa"/>
              <w:bottom w:w="80" w:type="dxa"/>
              <w:end w:w="120" w:type="dxa"/>
            </w:tcMar>
            <w:vAlign w:val="center"/>
          </w:tcPr>
          <w:p>
            <w:pPr>
              <w:spacing w:after="0"/>
            </w:pPr>
            <w:r>
              <w:rPr>
                <w:rFonts w:ascii="Calibri" w:hAnsi="Calibri"/>
                <w:b/>
                <w:i w:val="0"/>
                <w:color w:val="FFFFFF"/>
                <w:sz w:val="18"/>
              </w:rPr>
              <w:t>Formalité / date</w:t>
            </w:r>
          </w:p>
        </w:tc>
        <w:tc>
          <w:tcPr>
            <w:tcW w:type="dxa" w:w="2446"/>
            <w:shd w:fill="24493D"/>
            <w:tcMar>
              <w:top w:w="80" w:type="dxa"/>
              <w:start w:w="120" w:type="dxa"/>
              <w:bottom w:w="80" w:type="dxa"/>
              <w:end w:w="120" w:type="dxa"/>
            </w:tcMar>
            <w:vAlign w:val="center"/>
          </w:tcPr>
          <w:p>
            <w:pPr>
              <w:spacing w:after="0"/>
            </w:pPr>
            <w:r>
              <w:rPr>
                <w:rFonts w:ascii="Calibri" w:hAnsi="Calibri"/>
                <w:b/>
                <w:i w:val="0"/>
                <w:color w:val="FFFFFF"/>
                <w:sz w:val="18"/>
              </w:rPr>
              <w:t>Piste</w:t>
            </w:r>
          </w:p>
        </w:tc>
      </w:tr>
      <w:tr>
        <w:trPr>
          <w:cantSplit w:val="true"/>
        </w:trPr>
        <w:tc>
          <w:tcPr>
            <w:tcW w:type="dxa" w:w="745"/>
            <w:tcMar>
              <w:top w:w="80" w:type="dxa"/>
              <w:start w:w="120" w:type="dxa"/>
              <w:bottom w:w="80" w:type="dxa"/>
              <w:end w:w="120" w:type="dxa"/>
            </w:tcMar>
            <w:vAlign w:val="center"/>
          </w:tcPr>
          <w:p>
            <w:pPr>
              <w:spacing w:after="0"/>
            </w:pPr>
            <w:r>
              <w:rPr>
                <w:rFonts w:ascii="Calibri" w:hAnsi="Calibri"/>
                <w:b w:val="0"/>
                <w:i w:val="0"/>
                <w:color w:val="252A2C"/>
                <w:sz w:val="18"/>
              </w:rPr>
              <w:t>B-01</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12 logements</w:t>
            </w:r>
          </w:p>
        </w:tc>
        <w:tc>
          <w:tcPr>
            <w:tcW w:type="dxa" w:w="1276"/>
            <w:tcMar>
              <w:top w:w="80" w:type="dxa"/>
              <w:start w:w="120" w:type="dxa"/>
              <w:bottom w:w="80" w:type="dxa"/>
              <w:end w:w="120" w:type="dxa"/>
            </w:tcMar>
            <w:vAlign w:val="center"/>
          </w:tcPr>
          <w:p>
            <w:pPr>
              <w:spacing w:after="0"/>
            </w:pPr>
            <w:r>
              <w:rPr>
                <w:rFonts w:ascii="Calibri" w:hAnsi="Calibri"/>
                <w:b w:val="0"/>
                <w:i w:val="0"/>
                <w:color w:val="252A2C"/>
                <w:sz w:val="18"/>
              </w:rPr>
              <w:t>neuf</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habitation</w:t>
            </w:r>
          </w:p>
        </w:tc>
        <w:tc>
          <w:tcPr>
            <w:tcW w:type="dxa" w:w="1915"/>
            <w:tcMar>
              <w:top w:w="80" w:type="dxa"/>
              <w:start w:w="120" w:type="dxa"/>
              <w:bottom w:w="80" w:type="dxa"/>
              <w:end w:w="120" w:type="dxa"/>
            </w:tcMar>
            <w:vAlign w:val="center"/>
          </w:tcPr>
          <w:p>
            <w:pPr>
              <w:spacing w:after="0"/>
            </w:pPr>
            <w:r>
              <w:rPr>
                <w:rFonts w:ascii="Calibri" w:hAnsi="Calibri"/>
                <w:b w:val="0"/>
                <w:i w:val="0"/>
                <w:color w:val="252A2C"/>
                <w:sz w:val="18"/>
              </w:rPr>
              <w:t>PC fictif 20/08/2026</w:t>
            </w:r>
          </w:p>
        </w:tc>
        <w:tc>
          <w:tcPr>
            <w:tcW w:type="dxa" w:w="2446"/>
            <w:tcMar>
              <w:top w:w="80" w:type="dxa"/>
              <w:start w:w="120" w:type="dxa"/>
              <w:bottom w:w="80" w:type="dxa"/>
              <w:end w:w="120" w:type="dxa"/>
            </w:tcMar>
            <w:vAlign w:val="center"/>
          </w:tcPr>
          <w:p>
            <w:pPr>
              <w:spacing w:after="0"/>
            </w:pPr>
            <w:r>
              <w:rPr>
                <w:rFonts w:ascii="Calibri" w:hAnsi="Calibri"/>
                <w:b w:val="0"/>
                <w:i w:val="0"/>
                <w:color w:val="252A2C"/>
                <w:sz w:val="18"/>
              </w:rPr>
              <w:t>RE2020 habitation à instruire</w:t>
            </w:r>
          </w:p>
        </w:tc>
      </w:tr>
      <w:tr>
        <w:trPr>
          <w:cantSplit w:val="true"/>
        </w:trPr>
        <w:tc>
          <w:tcPr>
            <w:tcW w:type="dxa" w:w="745"/>
            <w:tcMar>
              <w:top w:w="80" w:type="dxa"/>
              <w:start w:w="120" w:type="dxa"/>
              <w:bottom w:w="80" w:type="dxa"/>
              <w:end w:w="120" w:type="dxa"/>
            </w:tcMar>
            <w:vAlign w:val="center"/>
          </w:tcPr>
          <w:p>
            <w:pPr>
              <w:spacing w:after="0"/>
            </w:pPr>
            <w:r>
              <w:rPr>
                <w:rFonts w:ascii="Calibri" w:hAnsi="Calibri"/>
                <w:b w:val="0"/>
                <w:i w:val="0"/>
                <w:color w:val="252A2C"/>
                <w:sz w:val="18"/>
              </w:rPr>
              <w:t>B-02</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médiathèque</w:t>
            </w:r>
          </w:p>
        </w:tc>
        <w:tc>
          <w:tcPr>
            <w:tcW w:type="dxa" w:w="1276"/>
            <w:tcMar>
              <w:top w:w="80" w:type="dxa"/>
              <w:start w:w="120" w:type="dxa"/>
              <w:bottom w:w="80" w:type="dxa"/>
              <w:end w:w="120" w:type="dxa"/>
            </w:tcMar>
            <w:vAlign w:val="center"/>
          </w:tcPr>
          <w:p>
            <w:pPr>
              <w:spacing w:after="0"/>
            </w:pPr>
            <w:r>
              <w:rPr>
                <w:rFonts w:ascii="Calibri" w:hAnsi="Calibri"/>
                <w:b w:val="0"/>
                <w:i w:val="0"/>
                <w:color w:val="252A2C"/>
                <w:sz w:val="18"/>
              </w:rPr>
              <w:t>neuf</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tertiaire spécifique</w:t>
            </w:r>
          </w:p>
        </w:tc>
        <w:tc>
          <w:tcPr>
            <w:tcW w:type="dxa" w:w="1915"/>
            <w:tcMar>
              <w:top w:w="80" w:type="dxa"/>
              <w:start w:w="120" w:type="dxa"/>
              <w:bottom w:w="80" w:type="dxa"/>
              <w:end w:w="120" w:type="dxa"/>
            </w:tcMar>
            <w:vAlign w:val="center"/>
          </w:tcPr>
          <w:p>
            <w:pPr>
              <w:spacing w:after="0"/>
            </w:pPr>
            <w:r>
              <w:rPr>
                <w:rFonts w:ascii="Calibri" w:hAnsi="Calibri"/>
                <w:b w:val="0"/>
                <w:i w:val="0"/>
                <w:color w:val="252A2C"/>
                <w:sz w:val="18"/>
              </w:rPr>
              <w:t>PC fictif 20/08/2026</w:t>
            </w:r>
          </w:p>
        </w:tc>
        <w:tc>
          <w:tcPr>
            <w:tcW w:type="dxa" w:w="2446"/>
            <w:tcMar>
              <w:top w:w="80" w:type="dxa"/>
              <w:start w:w="120" w:type="dxa"/>
              <w:bottom w:w="80" w:type="dxa"/>
              <w:end w:w="120" w:type="dxa"/>
            </w:tcMar>
            <w:vAlign w:val="center"/>
          </w:tcPr>
          <w:p>
            <w:pPr>
              <w:spacing w:after="0"/>
            </w:pPr>
            <w:r>
              <w:rPr>
                <w:rFonts w:ascii="Calibri" w:hAnsi="Calibri"/>
                <w:b w:val="0"/>
                <w:i w:val="0"/>
                <w:color w:val="252A2C"/>
                <w:sz w:val="18"/>
              </w:rPr>
              <w:t>champ étendu 2026 à instruire</w:t>
            </w:r>
          </w:p>
        </w:tc>
      </w:tr>
      <w:tr>
        <w:trPr>
          <w:cantSplit w:val="true"/>
        </w:trPr>
        <w:tc>
          <w:tcPr>
            <w:tcW w:type="dxa" w:w="745"/>
            <w:tcMar>
              <w:top w:w="80" w:type="dxa"/>
              <w:start w:w="120" w:type="dxa"/>
              <w:bottom w:w="80" w:type="dxa"/>
              <w:end w:w="120" w:type="dxa"/>
            </w:tcMar>
            <w:vAlign w:val="center"/>
          </w:tcPr>
          <w:p>
            <w:pPr>
              <w:spacing w:after="0"/>
            </w:pPr>
            <w:r>
              <w:rPr>
                <w:rFonts w:ascii="Calibri" w:hAnsi="Calibri"/>
                <w:b w:val="0"/>
                <w:i w:val="0"/>
                <w:color w:val="252A2C"/>
                <w:sz w:val="18"/>
              </w:rPr>
              <w:t>B-03</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commerce</w:t>
            </w:r>
          </w:p>
        </w:tc>
        <w:tc>
          <w:tcPr>
            <w:tcW w:type="dxa" w:w="1276"/>
            <w:tcMar>
              <w:top w:w="80" w:type="dxa"/>
              <w:start w:w="120" w:type="dxa"/>
              <w:bottom w:w="80" w:type="dxa"/>
              <w:end w:w="120" w:type="dxa"/>
            </w:tcMar>
            <w:vAlign w:val="center"/>
          </w:tcPr>
          <w:p>
            <w:pPr>
              <w:spacing w:after="0"/>
            </w:pPr>
            <w:r>
              <w:rPr>
                <w:rFonts w:ascii="Calibri" w:hAnsi="Calibri"/>
                <w:b w:val="0"/>
                <w:i w:val="0"/>
                <w:color w:val="252A2C"/>
                <w:sz w:val="18"/>
              </w:rPr>
              <w:t>neuf livré aménagé</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tertiaire spécifique</w:t>
            </w:r>
          </w:p>
        </w:tc>
        <w:tc>
          <w:tcPr>
            <w:tcW w:type="dxa" w:w="1915"/>
            <w:tcMar>
              <w:top w:w="80" w:type="dxa"/>
              <w:start w:w="120" w:type="dxa"/>
              <w:bottom w:w="80" w:type="dxa"/>
              <w:end w:w="120" w:type="dxa"/>
            </w:tcMar>
            <w:vAlign w:val="center"/>
          </w:tcPr>
          <w:p>
            <w:pPr>
              <w:spacing w:after="0"/>
            </w:pPr>
            <w:r>
              <w:rPr>
                <w:rFonts w:ascii="Calibri" w:hAnsi="Calibri"/>
                <w:b w:val="0"/>
                <w:i w:val="0"/>
                <w:color w:val="252A2C"/>
                <w:sz w:val="18"/>
              </w:rPr>
              <w:t>PC fictif 20/08/2026</w:t>
            </w:r>
          </w:p>
        </w:tc>
        <w:tc>
          <w:tcPr>
            <w:tcW w:type="dxa" w:w="2446"/>
            <w:tcMar>
              <w:top w:w="80" w:type="dxa"/>
              <w:start w:w="120" w:type="dxa"/>
              <w:bottom w:w="80" w:type="dxa"/>
              <w:end w:w="120" w:type="dxa"/>
            </w:tcMar>
            <w:vAlign w:val="center"/>
          </w:tcPr>
          <w:p>
            <w:pPr>
              <w:spacing w:after="0"/>
            </w:pPr>
            <w:r>
              <w:rPr>
                <w:rFonts w:ascii="Calibri" w:hAnsi="Calibri"/>
                <w:b w:val="0"/>
                <w:i w:val="0"/>
                <w:color w:val="252A2C"/>
                <w:sz w:val="18"/>
              </w:rPr>
              <w:t>champ étendu 2026 à instruire</w:t>
            </w:r>
          </w:p>
        </w:tc>
      </w:tr>
      <w:tr>
        <w:trPr>
          <w:cantSplit w:val="true"/>
        </w:trPr>
        <w:tc>
          <w:tcPr>
            <w:tcW w:type="dxa" w:w="745"/>
            <w:tcMar>
              <w:top w:w="80" w:type="dxa"/>
              <w:start w:w="120" w:type="dxa"/>
              <w:bottom w:w="80" w:type="dxa"/>
              <w:end w:w="120" w:type="dxa"/>
            </w:tcMar>
            <w:vAlign w:val="center"/>
          </w:tcPr>
          <w:p>
            <w:pPr>
              <w:spacing w:after="0"/>
            </w:pPr>
            <w:r>
              <w:rPr>
                <w:rFonts w:ascii="Calibri" w:hAnsi="Calibri"/>
                <w:b w:val="0"/>
                <w:i w:val="0"/>
                <w:color w:val="252A2C"/>
                <w:sz w:val="18"/>
              </w:rPr>
              <w:t>B-04</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aile 780 m²</w:t>
            </w:r>
          </w:p>
        </w:tc>
        <w:tc>
          <w:tcPr>
            <w:tcW w:type="dxa" w:w="1276"/>
            <w:tcMar>
              <w:top w:w="80" w:type="dxa"/>
              <w:start w:w="120" w:type="dxa"/>
              <w:bottom w:w="80" w:type="dxa"/>
              <w:end w:w="120" w:type="dxa"/>
            </w:tcMar>
            <w:vAlign w:val="center"/>
          </w:tcPr>
          <w:p>
            <w:pPr>
              <w:spacing w:after="0"/>
            </w:pPr>
            <w:r>
              <w:rPr>
                <w:rFonts w:ascii="Calibri" w:hAnsi="Calibri"/>
                <w:b w:val="0"/>
                <w:i w:val="0"/>
                <w:color w:val="252A2C"/>
                <w:sz w:val="18"/>
              </w:rPr>
              <w:t>rénovation</w:t>
            </w:r>
          </w:p>
        </w:tc>
        <w:tc>
          <w:tcPr>
            <w:tcW w:type="dxa" w:w="1489"/>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1915"/>
            <w:tcMar>
              <w:top w:w="80" w:type="dxa"/>
              <w:start w:w="120" w:type="dxa"/>
              <w:bottom w:w="80" w:type="dxa"/>
              <w:end w:w="120" w:type="dxa"/>
            </w:tcMar>
            <w:vAlign w:val="center"/>
          </w:tcPr>
          <w:p>
            <w:pPr>
              <w:spacing w:after="0"/>
            </w:pPr>
            <w:r>
              <w:rPr>
                <w:rFonts w:ascii="Calibri" w:hAnsi="Calibri"/>
                <w:b w:val="0"/>
                <w:i w:val="0"/>
                <w:color w:val="252A2C"/>
                <w:sz w:val="18"/>
              </w:rPr>
              <w:t>travaux fictifs 2026</w:t>
            </w:r>
          </w:p>
        </w:tc>
        <w:tc>
          <w:tcPr>
            <w:tcW w:type="dxa" w:w="2446"/>
            <w:tcMar>
              <w:top w:w="80" w:type="dxa"/>
              <w:start w:w="120" w:type="dxa"/>
              <w:bottom w:w="80" w:type="dxa"/>
              <w:end w:w="120" w:type="dxa"/>
            </w:tcMar>
            <w:vAlign w:val="center"/>
          </w:tcPr>
          <w:p>
            <w:pPr>
              <w:spacing w:after="0"/>
            </w:pPr>
            <w:r>
              <w:rPr>
                <w:rFonts w:ascii="Calibri" w:hAnsi="Calibri"/>
                <w:b w:val="0"/>
                <w:i w:val="0"/>
                <w:color w:val="252A2C"/>
                <w:sz w:val="18"/>
              </w:rPr>
              <w:t>RT existant par élément, globale et embarquée à comparer</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1671"/>
        <w:gridCol w:w="891"/>
        <w:gridCol w:w="2451"/>
        <w:gridCol w:w="4347"/>
      </w:tblGrid>
      <w:tr>
        <w:trPr>
          <w:tblHeader w:val="true"/>
          <w:cantSplit w:val="true"/>
        </w:trPr>
        <w:tc>
          <w:tcPr>
            <w:tcW w:type="dxa" w:w="1671"/>
            <w:shd w:fill="24493D"/>
            <w:tcMar>
              <w:top w:w="80" w:type="dxa"/>
              <w:start w:w="120" w:type="dxa"/>
              <w:bottom w:w="80" w:type="dxa"/>
              <w:end w:w="120" w:type="dxa"/>
            </w:tcMar>
            <w:vAlign w:val="center"/>
          </w:tcPr>
          <w:p>
            <w:pPr>
              <w:spacing w:after="0"/>
            </w:pPr>
            <w:r>
              <w:rPr>
                <w:rFonts w:ascii="Calibri" w:hAnsi="Calibri"/>
                <w:b/>
                <w:i w:val="0"/>
                <w:color w:val="FFFFFF"/>
                <w:sz w:val="18"/>
              </w:rPr>
              <w:t>État</w:t>
            </w:r>
          </w:p>
        </w:tc>
        <w:tc>
          <w:tcPr>
            <w:tcW w:type="dxa" w:w="891"/>
            <w:shd w:fill="24493D"/>
            <w:tcMar>
              <w:top w:w="80" w:type="dxa"/>
              <w:start w:w="120" w:type="dxa"/>
              <w:bottom w:w="80" w:type="dxa"/>
              <w:end w:w="120" w:type="dxa"/>
            </w:tcMar>
            <w:vAlign w:val="center"/>
          </w:tcPr>
          <w:p>
            <w:pPr>
              <w:spacing w:after="0"/>
            </w:pPr>
            <w:r>
              <w:rPr>
                <w:rFonts w:ascii="Calibri" w:hAnsi="Calibri"/>
                <w:b/>
                <w:i w:val="0"/>
                <w:color w:val="FFFFFF"/>
                <w:sz w:val="18"/>
              </w:rPr>
              <w:t>Indice</w:t>
            </w:r>
          </w:p>
        </w:tc>
        <w:tc>
          <w:tcPr>
            <w:tcW w:type="dxa" w:w="2451"/>
            <w:shd w:fill="24493D"/>
            <w:tcMar>
              <w:top w:w="80" w:type="dxa"/>
              <w:start w:w="120" w:type="dxa"/>
              <w:bottom w:w="80" w:type="dxa"/>
              <w:end w:w="120" w:type="dxa"/>
            </w:tcMar>
            <w:vAlign w:val="center"/>
          </w:tcPr>
          <w:p>
            <w:pPr>
              <w:spacing w:after="0"/>
            </w:pPr>
            <w:r>
              <w:rPr>
                <w:rFonts w:ascii="Calibri" w:hAnsi="Calibri"/>
                <w:b/>
                <w:i w:val="0"/>
                <w:color w:val="FFFFFF"/>
                <w:sz w:val="18"/>
              </w:rPr>
              <w:t>Auteur fictif</w:t>
            </w:r>
          </w:p>
        </w:tc>
        <w:tc>
          <w:tcPr>
            <w:tcW w:type="dxa" w:w="4347"/>
            <w:shd w:fill="24493D"/>
            <w:tcMar>
              <w:top w:w="80" w:type="dxa"/>
              <w:start w:w="120" w:type="dxa"/>
              <w:bottom w:w="80" w:type="dxa"/>
              <w:end w:w="120" w:type="dxa"/>
            </w:tcMar>
            <w:vAlign w:val="center"/>
          </w:tcPr>
          <w:p>
            <w:pPr>
              <w:spacing w:after="0"/>
            </w:pPr>
            <w:r>
              <w:rPr>
                <w:rFonts w:ascii="Calibri" w:hAnsi="Calibri"/>
                <w:b/>
                <w:i w:val="0"/>
                <w:color w:val="FFFFFF"/>
                <w:sz w:val="18"/>
              </w:rPr>
              <w:t>Observation</w:t>
            </w:r>
          </w:p>
        </w:tc>
      </w:tr>
      <w:tr>
        <w:trPr>
          <w:cantSplit w:val="true"/>
        </w:trPr>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calcul initial</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A</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BET énergie-carbone</w:t>
            </w:r>
          </w:p>
        </w:tc>
        <w:tc>
          <w:tcPr>
            <w:tcW w:type="dxa" w:w="4347"/>
            <w:tcMar>
              <w:top w:w="80" w:type="dxa"/>
              <w:start w:w="120" w:type="dxa"/>
              <w:bottom w:w="80" w:type="dxa"/>
              <w:end w:w="120" w:type="dxa"/>
            </w:tcMar>
            <w:vAlign w:val="center"/>
          </w:tcPr>
          <w:p>
            <w:pPr>
              <w:spacing w:after="0"/>
            </w:pPr>
            <w:r>
              <w:rPr>
                <w:rFonts w:ascii="Calibri" w:hAnsi="Calibri"/>
                <w:b w:val="0"/>
                <w:i w:val="0"/>
                <w:color w:val="252A2C"/>
                <w:sz w:val="18"/>
              </w:rPr>
              <w:t>favorable avec marges fictives</w:t>
            </w:r>
          </w:p>
        </w:tc>
      </w:tr>
      <w:tr>
        <w:trPr>
          <w:cantSplit w:val="true"/>
        </w:trPr>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calcul après variante</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B</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BET énergie-carbone</w:t>
            </w:r>
          </w:p>
        </w:tc>
        <w:tc>
          <w:tcPr>
            <w:tcW w:type="dxa" w:w="4347"/>
            <w:tcMar>
              <w:top w:w="80" w:type="dxa"/>
              <w:start w:w="120" w:type="dxa"/>
              <w:bottom w:w="80" w:type="dxa"/>
              <w:end w:w="120" w:type="dxa"/>
            </w:tcMar>
            <w:vAlign w:val="center"/>
          </w:tcPr>
          <w:p>
            <w:pPr>
              <w:spacing w:after="0"/>
            </w:pPr>
            <w:r>
              <w:rPr>
                <w:rFonts w:ascii="Calibri" w:hAnsi="Calibri"/>
                <w:b w:val="0"/>
                <w:i w:val="0"/>
                <w:color w:val="252A2C"/>
                <w:sz w:val="18"/>
              </w:rPr>
              <w:t>isolant et PAC seulement intégrés</w:t>
            </w:r>
          </w:p>
        </w:tc>
      </w:tr>
      <w:tr>
        <w:trPr>
          <w:cantSplit w:val="true"/>
        </w:trPr>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projet de RSEE final</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C</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BET énergie-carbone</w:t>
            </w:r>
          </w:p>
        </w:tc>
        <w:tc>
          <w:tcPr>
            <w:tcW w:type="dxa" w:w="4347"/>
            <w:tcMar>
              <w:top w:w="80" w:type="dxa"/>
              <w:start w:w="120" w:type="dxa"/>
              <w:bottom w:w="80" w:type="dxa"/>
              <w:end w:w="120" w:type="dxa"/>
            </w:tcMar>
            <w:vAlign w:val="center"/>
          </w:tcPr>
          <w:p>
            <w:pPr>
              <w:spacing w:after="0"/>
            </w:pPr>
            <w:r>
              <w:rPr>
                <w:rFonts w:ascii="Calibri" w:hAnsi="Calibri"/>
                <w:b w:val="0"/>
                <w:i w:val="0"/>
                <w:color w:val="252A2C"/>
                <w:sz w:val="18"/>
              </w:rPr>
              <w:t>béton et protections non rapprochés</w:t>
            </w:r>
          </w:p>
        </w:tc>
      </w:tr>
      <w:tr>
        <w:trPr>
          <w:cantSplit w:val="true"/>
        </w:trPr>
        <w:tc>
          <w:tcPr>
            <w:tcW w:type="dxa" w:w="1671"/>
            <w:tcMar>
              <w:top w:w="80" w:type="dxa"/>
              <w:start w:w="120" w:type="dxa"/>
              <w:bottom w:w="80" w:type="dxa"/>
              <w:end w:w="120" w:type="dxa"/>
            </w:tcMar>
            <w:vAlign w:val="center"/>
          </w:tcPr>
          <w:p>
            <w:pPr>
              <w:spacing w:after="0"/>
            </w:pPr>
            <w:r>
              <w:rPr>
                <w:rFonts w:ascii="Calibri" w:hAnsi="Calibri"/>
                <w:b w:val="0"/>
                <w:i w:val="0"/>
                <w:color w:val="252A2C"/>
                <w:sz w:val="18"/>
              </w:rPr>
              <w:t>état exécuté</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DOE-1</w:t>
            </w:r>
          </w:p>
        </w:tc>
        <w:tc>
          <w:tcPr>
            <w:tcW w:type="dxa" w:w="2451"/>
            <w:tcMar>
              <w:top w:w="80" w:type="dxa"/>
              <w:start w:w="120" w:type="dxa"/>
              <w:bottom w:w="80" w:type="dxa"/>
              <w:end w:w="120" w:type="dxa"/>
            </w:tcMar>
            <w:vAlign w:val="center"/>
          </w:tcPr>
          <w:p>
            <w:pPr>
              <w:spacing w:after="0"/>
            </w:pPr>
            <w:r>
              <w:rPr>
                <w:rFonts w:ascii="Calibri" w:hAnsi="Calibri"/>
                <w:b w:val="0"/>
                <w:i w:val="0"/>
                <w:color w:val="252A2C"/>
                <w:sz w:val="18"/>
              </w:rPr>
              <w:t>maîtrise d'œuvre</w:t>
            </w:r>
          </w:p>
        </w:tc>
        <w:tc>
          <w:tcPr>
            <w:tcW w:type="dxa" w:w="4347"/>
            <w:tcMar>
              <w:top w:w="80" w:type="dxa"/>
              <w:start w:w="120" w:type="dxa"/>
              <w:bottom w:w="80" w:type="dxa"/>
              <w:end w:w="120" w:type="dxa"/>
            </w:tcMar>
            <w:vAlign w:val="center"/>
          </w:tcPr>
          <w:p>
            <w:pPr>
              <w:spacing w:after="0"/>
            </w:pPr>
            <w:r>
              <w:rPr>
                <w:rFonts w:ascii="Calibri" w:hAnsi="Calibri"/>
                <w:b w:val="0"/>
                <w:i w:val="0"/>
                <w:color w:val="252A2C"/>
                <w:sz w:val="18"/>
              </w:rPr>
              <w:t>quatre variantes mentionnées</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Tracez la coupe des régimes, sélectionnez la bande de dates et relevez les incohérences de version entre calcul, projet de RSEE et état exécuté.</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p>
      <w:pPr>
        <w:pStyle w:val="Heading1"/>
        <w:pageBreakBefore/>
      </w:pPr>
      <w:r>
        <w:rPr>
          <w:rFonts w:ascii="Calibri" w:hAnsi="Calibri"/>
          <w:b/>
          <w:i w:val="0"/>
          <w:color w:val="24493D"/>
          <w:sz w:val="32"/>
        </w:rPr>
        <w:t>Ensemble 3 — Grille RÉGIME et coupe des régimes</w:t>
      </w:r>
    </w:p>
    <w:p>
      <w:pPr>
        <w:jc w:val="center"/>
      </w:pPr>
      <w:r>
        <w:drawing>
          <wp:inline xmlns:a="http://schemas.openxmlformats.org/drawingml/2006/main" xmlns:pic="http://schemas.openxmlformats.org/drawingml/2006/picture">
            <wp:extent cx="5486400" cy="3291840"/>
            <wp:docPr id="3" name="Picture 3" descr="Coupe de Belvédère en quatre parties : douze logements neufs, médiathèque neuve, commerce neuf et aile existante rénovée. Chaque partie porte une première piste de régime. Une ligne de temps relie dépôt fictif, calcul, variante et achèvement." title="Illustration originale IEB"/>
            <wp:cNvGraphicFramePr>
              <a:graphicFrameLocks noChangeAspect="1"/>
            </wp:cNvGraphicFramePr>
            <a:graphic>
              <a:graphicData uri="http://schemas.openxmlformats.org/drawingml/2006/picture">
                <pic:pic>
                  <pic:nvPicPr>
                    <pic:cNvPr id="0" name="ieb-asset-c02-000001__coupe-regimes-belvedere__v0.1.0.png"/>
                    <pic:cNvPicPr/>
                  </pic:nvPicPr>
                  <pic:blipFill>
                    <a:blip r:embed="rId13"/>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Coupe de Belvédère en quatre parties : douze logements neufs, médiathèque neuve, commerce neuf et aile existante rénovée. Chaque partie porte une première piste de régime. Une ligne de temps relie dépôt fictif, calcul, variante et achèvement.</w:t>
      </w:r>
    </w:p>
    <w:tbl>
      <w:tblPr>
        <w:tblStyle w:val="TableGrid"/>
        <w:jc w:val="center"/>
        <w:tblLook w:firstColumn="1" w:firstRow="1" w:lastColumn="0" w:lastRow="0" w:noHBand="0" w:noVBand="1" w:val="04A0"/>
        <w:tblW w:w="9360" w:type="dxa"/>
        <w:tblInd w:w="120" w:type="dxa"/>
        <w:tblLayout w:type="fixed"/>
      </w:tblPr>
      <w:tblGrid>
        <w:gridCol w:w="1506"/>
        <w:gridCol w:w="1614"/>
        <w:gridCol w:w="1291"/>
        <w:gridCol w:w="1506"/>
        <w:gridCol w:w="1506"/>
        <w:gridCol w:w="1937"/>
      </w:tblGrid>
      <w:tr>
        <w:trPr>
          <w:tblHeader w:val="true"/>
          <w:cantSplit w:val="true"/>
        </w:trPr>
        <w:tc>
          <w:tcPr>
            <w:tcW w:type="dxa" w:w="1506"/>
            <w:shd w:fill="24493D"/>
            <w:tcMar>
              <w:top w:w="80" w:type="dxa"/>
              <w:start w:w="120" w:type="dxa"/>
              <w:bottom w:w="80" w:type="dxa"/>
              <w:end w:w="120" w:type="dxa"/>
            </w:tcMar>
            <w:vAlign w:val="center"/>
          </w:tcPr>
          <w:p>
            <w:pPr>
              <w:spacing w:after="0"/>
            </w:pPr>
            <w:r>
              <w:rPr>
                <w:rFonts w:ascii="Calibri" w:hAnsi="Calibri"/>
                <w:b/>
                <w:i w:val="0"/>
                <w:color w:val="FFFFFF"/>
                <w:sz w:val="18"/>
              </w:rPr>
              <w:t>R</w:t>
            </w:r>
          </w:p>
        </w:tc>
        <w:tc>
          <w:tcPr>
            <w:tcW w:type="dxa" w:w="1614"/>
            <w:shd w:fill="24493D"/>
            <w:tcMar>
              <w:top w:w="80" w:type="dxa"/>
              <w:start w:w="120" w:type="dxa"/>
              <w:bottom w:w="80" w:type="dxa"/>
              <w:end w:w="120" w:type="dxa"/>
            </w:tcMar>
            <w:vAlign w:val="center"/>
          </w:tcPr>
          <w:p>
            <w:pPr>
              <w:spacing w:after="0"/>
            </w:pPr>
            <w:r>
              <w:rPr>
                <w:rFonts w:ascii="Calibri" w:hAnsi="Calibri"/>
                <w:b/>
                <w:i w:val="0"/>
                <w:color w:val="FFFFFF"/>
                <w:sz w:val="18"/>
              </w:rPr>
              <w:t>É</w:t>
            </w:r>
          </w:p>
        </w:tc>
        <w:tc>
          <w:tcPr>
            <w:tcW w:type="dxa" w:w="1291"/>
            <w:shd w:fill="24493D"/>
            <w:tcMar>
              <w:top w:w="80" w:type="dxa"/>
              <w:start w:w="120" w:type="dxa"/>
              <w:bottom w:w="80" w:type="dxa"/>
              <w:end w:w="120" w:type="dxa"/>
            </w:tcMar>
            <w:vAlign w:val="center"/>
          </w:tcPr>
          <w:p>
            <w:pPr>
              <w:spacing w:after="0"/>
            </w:pPr>
            <w:r>
              <w:rPr>
                <w:rFonts w:ascii="Calibri" w:hAnsi="Calibri"/>
                <w:b/>
                <w:i w:val="0"/>
                <w:color w:val="FFFFFF"/>
                <w:sz w:val="18"/>
              </w:rPr>
              <w:t>G</w:t>
            </w:r>
          </w:p>
        </w:tc>
        <w:tc>
          <w:tcPr>
            <w:tcW w:type="dxa" w:w="1506"/>
            <w:shd w:fill="24493D"/>
            <w:tcMar>
              <w:top w:w="80" w:type="dxa"/>
              <w:start w:w="120" w:type="dxa"/>
              <w:bottom w:w="80" w:type="dxa"/>
              <w:end w:w="120" w:type="dxa"/>
            </w:tcMar>
            <w:vAlign w:val="center"/>
          </w:tcPr>
          <w:p>
            <w:pPr>
              <w:spacing w:after="0"/>
            </w:pPr>
            <w:r>
              <w:rPr>
                <w:rFonts w:ascii="Calibri" w:hAnsi="Calibri"/>
                <w:b/>
                <w:i w:val="0"/>
                <w:color w:val="FFFFFF"/>
                <w:sz w:val="18"/>
              </w:rPr>
              <w:t>I</w:t>
            </w:r>
          </w:p>
        </w:tc>
        <w:tc>
          <w:tcPr>
            <w:tcW w:type="dxa" w:w="1506"/>
            <w:shd w:fill="24493D"/>
            <w:tcMar>
              <w:top w:w="80" w:type="dxa"/>
              <w:start w:w="120" w:type="dxa"/>
              <w:bottom w:w="80" w:type="dxa"/>
              <w:end w:w="120" w:type="dxa"/>
            </w:tcMar>
            <w:vAlign w:val="center"/>
          </w:tcPr>
          <w:p>
            <w:pPr>
              <w:spacing w:after="0"/>
            </w:pPr>
            <w:r>
              <w:rPr>
                <w:rFonts w:ascii="Calibri" w:hAnsi="Calibri"/>
                <w:b/>
                <w:i w:val="0"/>
                <w:color w:val="FFFFFF"/>
                <w:sz w:val="18"/>
              </w:rPr>
              <w:t>M</w:t>
            </w:r>
          </w:p>
        </w:tc>
        <w:tc>
          <w:tcPr>
            <w:tcW w:type="dxa" w:w="1937"/>
            <w:shd w:fill="24493D"/>
            <w:tcMar>
              <w:top w:w="80" w:type="dxa"/>
              <w:start w:w="120" w:type="dxa"/>
              <w:bottom w:w="80" w:type="dxa"/>
              <w:end w:w="120" w:type="dxa"/>
            </w:tcMar>
            <w:vAlign w:val="center"/>
          </w:tcPr>
          <w:p>
            <w:pPr>
              <w:spacing w:after="0"/>
            </w:pPr>
            <w:r>
              <w:rPr>
                <w:rFonts w:ascii="Calibri" w:hAnsi="Calibri"/>
                <w:b/>
                <w:i w:val="0"/>
                <w:color w:val="FFFFFF"/>
                <w:sz w:val="18"/>
              </w:rPr>
              <w:t>E</w:t>
            </w:r>
          </w:p>
        </w:tc>
      </w:tr>
      <w:tr>
        <w:trPr>
          <w:cantSplit w:val="true"/>
        </w:trPr>
        <w:tc>
          <w:tcPr>
            <w:tcW w:type="dxa" w:w="1506"/>
            <w:tcMar>
              <w:top w:w="80" w:type="dxa"/>
              <w:start w:w="120" w:type="dxa"/>
              <w:bottom w:w="80" w:type="dxa"/>
              <w:end w:w="120" w:type="dxa"/>
            </w:tcMar>
            <w:vAlign w:val="center"/>
          </w:tcPr>
          <w:p>
            <w:pPr>
              <w:spacing w:after="0"/>
            </w:pPr>
            <w:r>
              <w:rPr>
                <w:rFonts w:ascii="Calibri" w:hAnsi="Calibri"/>
                <w:b w:val="0"/>
                <w:i w:val="0"/>
                <w:color w:val="252A2C"/>
                <w:sz w:val="18"/>
              </w:rPr>
              <w:t>Régime par partie</w:t>
            </w:r>
          </w:p>
        </w:tc>
        <w:tc>
          <w:tcPr>
            <w:tcW w:type="dxa" w:w="1614"/>
            <w:tcMar>
              <w:top w:w="80" w:type="dxa"/>
              <w:start w:w="120" w:type="dxa"/>
              <w:bottom w:w="80" w:type="dxa"/>
              <w:end w:w="120" w:type="dxa"/>
            </w:tcMar>
            <w:vAlign w:val="center"/>
          </w:tcPr>
          <w:p>
            <w:pPr>
              <w:spacing w:after="0"/>
            </w:pPr>
            <w:r>
              <w:rPr>
                <w:rFonts w:ascii="Calibri" w:hAnsi="Calibri"/>
                <w:b w:val="0"/>
                <w:i w:val="0"/>
                <w:color w:val="252A2C"/>
                <w:sz w:val="18"/>
              </w:rPr>
              <w:t>Échéance et formalité</w:t>
            </w:r>
          </w:p>
        </w:tc>
        <w:tc>
          <w:tcPr>
            <w:tcW w:type="dxa" w:w="1291"/>
            <w:tcMar>
              <w:top w:w="80" w:type="dxa"/>
              <w:start w:w="120" w:type="dxa"/>
              <w:bottom w:w="80" w:type="dxa"/>
              <w:end w:w="120" w:type="dxa"/>
            </w:tcMar>
            <w:vAlign w:val="center"/>
          </w:tcPr>
          <w:p>
            <w:pPr>
              <w:spacing w:after="0"/>
            </w:pPr>
            <w:r>
              <w:rPr>
                <w:rFonts w:ascii="Calibri" w:hAnsi="Calibri"/>
                <w:b w:val="0"/>
                <w:i w:val="0"/>
                <w:color w:val="252A2C"/>
                <w:sz w:val="18"/>
              </w:rPr>
              <w:t>Géographie</w:t>
            </w:r>
          </w:p>
        </w:tc>
        <w:tc>
          <w:tcPr>
            <w:tcW w:type="dxa" w:w="1506"/>
            <w:tcMar>
              <w:top w:w="80" w:type="dxa"/>
              <w:start w:w="120" w:type="dxa"/>
              <w:bottom w:w="80" w:type="dxa"/>
              <w:end w:w="120" w:type="dxa"/>
            </w:tcMar>
            <w:vAlign w:val="center"/>
          </w:tcPr>
          <w:p>
            <w:pPr>
              <w:spacing w:after="0"/>
            </w:pPr>
            <w:r>
              <w:rPr>
                <w:rFonts w:ascii="Calibri" w:hAnsi="Calibri"/>
                <w:b w:val="0"/>
                <w:i w:val="0"/>
                <w:color w:val="252A2C"/>
                <w:sz w:val="18"/>
              </w:rPr>
              <w:t>Indicateurs</w:t>
            </w:r>
          </w:p>
        </w:tc>
        <w:tc>
          <w:tcPr>
            <w:tcW w:type="dxa" w:w="1506"/>
            <w:tcMar>
              <w:top w:w="80" w:type="dxa"/>
              <w:start w:w="120" w:type="dxa"/>
              <w:bottom w:w="80" w:type="dxa"/>
              <w:end w:w="120" w:type="dxa"/>
            </w:tcMar>
            <w:vAlign w:val="center"/>
          </w:tcPr>
          <w:p>
            <w:pPr>
              <w:spacing w:after="0"/>
            </w:pPr>
            <w:r>
              <w:rPr>
                <w:rFonts w:ascii="Calibri" w:hAnsi="Calibri"/>
                <w:b w:val="0"/>
                <w:i w:val="0"/>
                <w:color w:val="252A2C"/>
                <w:sz w:val="18"/>
              </w:rPr>
              <w:t>Millésime</w:t>
            </w:r>
          </w:p>
        </w:tc>
        <w:tc>
          <w:tcPr>
            <w:tcW w:type="dxa" w:w="1937"/>
            <w:tcMar>
              <w:top w:w="80" w:type="dxa"/>
              <w:start w:w="120" w:type="dxa"/>
              <w:bottom w:w="80" w:type="dxa"/>
              <w:end w:w="120" w:type="dxa"/>
            </w:tcMar>
            <w:vAlign w:val="center"/>
          </w:tcPr>
          <w:p>
            <w:pPr>
              <w:spacing w:after="0"/>
            </w:pPr>
            <w:r>
              <w:rPr>
                <w:rFonts w:ascii="Calibri" w:hAnsi="Calibri"/>
                <w:b w:val="0"/>
                <w:i w:val="0"/>
                <w:color w:val="252A2C"/>
                <w:sz w:val="18"/>
              </w:rPr>
              <w:t>Éléments de preuve</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871"/>
        <w:gridCol w:w="1197"/>
        <w:gridCol w:w="1306"/>
        <w:gridCol w:w="1197"/>
        <w:gridCol w:w="1524"/>
        <w:gridCol w:w="1306"/>
        <w:gridCol w:w="1959"/>
      </w:tblGrid>
      <w:tr>
        <w:trPr>
          <w:tblHeader w:val="true"/>
          <w:cantSplit w:val="true"/>
        </w:trPr>
        <w:tc>
          <w:tcPr>
            <w:tcW w:type="dxa" w:w="871"/>
            <w:shd w:fill="24493D"/>
            <w:tcMar>
              <w:top w:w="80" w:type="dxa"/>
              <w:start w:w="120" w:type="dxa"/>
              <w:bottom w:w="80" w:type="dxa"/>
              <w:end w:w="120" w:type="dxa"/>
            </w:tcMar>
            <w:vAlign w:val="center"/>
          </w:tcPr>
          <w:p>
            <w:pPr>
              <w:spacing w:after="0"/>
            </w:pPr>
            <w:r>
              <w:rPr>
                <w:rFonts w:ascii="Calibri" w:hAnsi="Calibri"/>
                <w:b/>
                <w:i w:val="0"/>
                <w:color w:val="FFFFFF"/>
                <w:sz w:val="18"/>
              </w:rPr>
              <w:t>Partie</w:t>
            </w:r>
          </w:p>
        </w:tc>
        <w:tc>
          <w:tcPr>
            <w:tcW w:type="dxa" w:w="1197"/>
            <w:shd w:fill="24493D"/>
            <w:tcMar>
              <w:top w:w="80" w:type="dxa"/>
              <w:start w:w="120" w:type="dxa"/>
              <w:bottom w:w="80" w:type="dxa"/>
              <w:end w:w="120" w:type="dxa"/>
            </w:tcMar>
            <w:vAlign w:val="center"/>
          </w:tcPr>
          <w:p>
            <w:pPr>
              <w:spacing w:after="0"/>
            </w:pPr>
            <w:r>
              <w:rPr>
                <w:rFonts w:ascii="Calibri" w:hAnsi="Calibri"/>
                <w:b/>
                <w:i w:val="0"/>
                <w:color w:val="FFFFFF"/>
                <w:sz w:val="18"/>
              </w:rPr>
              <w:t>Nature</w:t>
            </w:r>
          </w:p>
        </w:tc>
        <w:tc>
          <w:tcPr>
            <w:tcW w:type="dxa" w:w="1306"/>
            <w:shd w:fill="24493D"/>
            <w:tcMar>
              <w:top w:w="80" w:type="dxa"/>
              <w:start w:w="120" w:type="dxa"/>
              <w:bottom w:w="80" w:type="dxa"/>
              <w:end w:w="120" w:type="dxa"/>
            </w:tcMar>
            <w:vAlign w:val="center"/>
          </w:tcPr>
          <w:p>
            <w:pPr>
              <w:spacing w:after="0"/>
            </w:pPr>
            <w:r>
              <w:rPr>
                <w:rFonts w:ascii="Calibri" w:hAnsi="Calibri"/>
                <w:b/>
                <w:i w:val="0"/>
                <w:color w:val="FFFFFF"/>
                <w:sz w:val="18"/>
              </w:rPr>
              <w:t>Usage</w:t>
            </w:r>
          </w:p>
        </w:tc>
        <w:tc>
          <w:tcPr>
            <w:tcW w:type="dxa" w:w="1197"/>
            <w:shd w:fill="24493D"/>
            <w:tcMar>
              <w:top w:w="80" w:type="dxa"/>
              <w:start w:w="120" w:type="dxa"/>
              <w:bottom w:w="80" w:type="dxa"/>
              <w:end w:w="120" w:type="dxa"/>
            </w:tcMar>
            <w:vAlign w:val="center"/>
          </w:tcPr>
          <w:p>
            <w:pPr>
              <w:spacing w:after="0"/>
            </w:pPr>
            <w:r>
              <w:rPr>
                <w:rFonts w:ascii="Calibri" w:hAnsi="Calibri"/>
                <w:b/>
                <w:i w:val="0"/>
                <w:color w:val="FFFFFF"/>
                <w:sz w:val="18"/>
              </w:rPr>
              <w:t>Surface</w:t>
            </w:r>
          </w:p>
        </w:tc>
        <w:tc>
          <w:tcPr>
            <w:tcW w:type="dxa" w:w="1524"/>
            <w:shd w:fill="24493D"/>
            <w:tcMar>
              <w:top w:w="80" w:type="dxa"/>
              <w:start w:w="120" w:type="dxa"/>
              <w:bottom w:w="80" w:type="dxa"/>
              <w:end w:w="120" w:type="dxa"/>
            </w:tcMar>
            <w:vAlign w:val="center"/>
          </w:tcPr>
          <w:p>
            <w:pPr>
              <w:spacing w:after="0"/>
            </w:pPr>
            <w:r>
              <w:rPr>
                <w:rFonts w:ascii="Calibri" w:hAnsi="Calibri"/>
                <w:b/>
                <w:i w:val="0"/>
                <w:color w:val="FFFFFF"/>
                <w:sz w:val="18"/>
              </w:rPr>
              <w:t>Formalité</w:t>
            </w:r>
          </w:p>
        </w:tc>
        <w:tc>
          <w:tcPr>
            <w:tcW w:type="dxa" w:w="1306"/>
            <w:shd w:fill="24493D"/>
            <w:tcMar>
              <w:top w:w="80" w:type="dxa"/>
              <w:start w:w="120" w:type="dxa"/>
              <w:bottom w:w="80" w:type="dxa"/>
              <w:end w:w="120" w:type="dxa"/>
            </w:tcMar>
            <w:vAlign w:val="center"/>
          </w:tcPr>
          <w:p>
            <w:pPr>
              <w:spacing w:after="0"/>
            </w:pPr>
            <w:r>
              <w:rPr>
                <w:rFonts w:ascii="Calibri" w:hAnsi="Calibri"/>
                <w:b/>
                <w:i w:val="0"/>
                <w:color w:val="FFFFFF"/>
                <w:sz w:val="18"/>
              </w:rPr>
              <w:t>Date</w:t>
            </w:r>
          </w:p>
        </w:tc>
        <w:tc>
          <w:tcPr>
            <w:tcW w:type="dxa" w:w="1959"/>
            <w:shd w:fill="24493D"/>
            <w:tcMar>
              <w:top w:w="80" w:type="dxa"/>
              <w:start w:w="120" w:type="dxa"/>
              <w:bottom w:w="80" w:type="dxa"/>
              <w:end w:w="120" w:type="dxa"/>
            </w:tcMar>
            <w:vAlign w:val="center"/>
          </w:tcPr>
          <w:p>
            <w:pPr>
              <w:spacing w:after="0"/>
            </w:pPr>
            <w:r>
              <w:rPr>
                <w:rFonts w:ascii="Calibri" w:hAnsi="Calibri"/>
                <w:b/>
                <w:i w:val="0"/>
                <w:color w:val="FFFFFF"/>
                <w:sz w:val="18"/>
              </w:rPr>
              <w:t>Régime / source</w:t>
            </w:r>
          </w:p>
        </w:tc>
      </w:tr>
      <w:tr>
        <w:trPr>
          <w:cantSplit w:val="true"/>
        </w:trPr>
        <w:tc>
          <w:tcPr>
            <w:tcW w:type="dxa" w:w="871"/>
            <w:tcMar>
              <w:top w:w="80" w:type="dxa"/>
              <w:start w:w="120" w:type="dxa"/>
              <w:bottom w:w="80" w:type="dxa"/>
              <w:end w:w="120" w:type="dxa"/>
            </w:tcMar>
            <w:vAlign w:val="center"/>
          </w:tcPr>
          <w:p>
            <w:pPr>
              <w:spacing w:after="0"/>
            </w:pPr>
            <w:r>
              <w:rPr>
                <w:rFonts w:ascii="Calibri" w:hAnsi="Calibri"/>
                <w:b w:val="0"/>
                <w:i w:val="0"/>
                <w:color w:val="252A2C"/>
                <w:sz w:val="18"/>
              </w:rPr>
              <w:t>B-01</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neuf</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habitation</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à relever</w:t>
            </w:r>
          </w:p>
        </w:tc>
        <w:tc>
          <w:tcPr>
            <w:tcW w:type="dxa" w:w="1524"/>
            <w:tcMar>
              <w:top w:w="80" w:type="dxa"/>
              <w:start w:w="120" w:type="dxa"/>
              <w:bottom w:w="80" w:type="dxa"/>
              <w:end w:w="120" w:type="dxa"/>
            </w:tcMar>
            <w:vAlign w:val="center"/>
          </w:tcPr>
          <w:p>
            <w:pPr>
              <w:spacing w:after="0"/>
            </w:pPr>
            <w:r>
              <w:rPr>
                <w:rFonts w:ascii="Calibri" w:hAnsi="Calibri"/>
                <w:b w:val="0"/>
                <w:i w:val="0"/>
                <w:color w:val="252A2C"/>
                <w:sz w:val="18"/>
              </w:rPr>
              <w:t>PC</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20/08/2026</w:t>
            </w:r>
          </w:p>
        </w:tc>
        <w:tc>
          <w:tcPr>
            <w:tcW w:type="dxa" w:w="1959"/>
            <w:tcMar>
              <w:top w:w="80" w:type="dxa"/>
              <w:start w:w="120" w:type="dxa"/>
              <w:bottom w:w="80" w:type="dxa"/>
              <w:end w:w="120" w:type="dxa"/>
            </w:tcMar>
            <w:vAlign w:val="center"/>
          </w:tcPr>
          <w:p>
            <w:pPr>
              <w:spacing w:after="0"/>
            </w:pPr>
            <w:r>
              <w:rPr>
                <w:rFonts w:ascii="Calibri" w:hAnsi="Calibri"/>
                <w:b w:val="0"/>
                <w:i w:val="0"/>
                <w:color w:val="252A2C"/>
                <w:sz w:val="18"/>
              </w:rPr>
              <w:t>à justifier</w:t>
            </w:r>
          </w:p>
        </w:tc>
      </w:tr>
      <w:tr>
        <w:trPr>
          <w:cantSplit w:val="true"/>
        </w:trPr>
        <w:tc>
          <w:tcPr>
            <w:tcW w:type="dxa" w:w="871"/>
            <w:tcMar>
              <w:top w:w="80" w:type="dxa"/>
              <w:start w:w="120" w:type="dxa"/>
              <w:bottom w:w="80" w:type="dxa"/>
              <w:end w:w="120" w:type="dxa"/>
            </w:tcMar>
            <w:vAlign w:val="center"/>
          </w:tcPr>
          <w:p>
            <w:pPr>
              <w:spacing w:after="0"/>
            </w:pPr>
            <w:r>
              <w:rPr>
                <w:rFonts w:ascii="Calibri" w:hAnsi="Calibri"/>
                <w:b w:val="0"/>
                <w:i w:val="0"/>
                <w:color w:val="252A2C"/>
                <w:sz w:val="18"/>
              </w:rPr>
              <w:t>B-02</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neuf</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tertiaire spécifique</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à relever</w:t>
            </w:r>
          </w:p>
        </w:tc>
        <w:tc>
          <w:tcPr>
            <w:tcW w:type="dxa" w:w="1524"/>
            <w:tcMar>
              <w:top w:w="80" w:type="dxa"/>
              <w:start w:w="120" w:type="dxa"/>
              <w:bottom w:w="80" w:type="dxa"/>
              <w:end w:w="120" w:type="dxa"/>
            </w:tcMar>
            <w:vAlign w:val="center"/>
          </w:tcPr>
          <w:p>
            <w:pPr>
              <w:spacing w:after="0"/>
            </w:pPr>
            <w:r>
              <w:rPr>
                <w:rFonts w:ascii="Calibri" w:hAnsi="Calibri"/>
                <w:b w:val="0"/>
                <w:i w:val="0"/>
                <w:color w:val="252A2C"/>
                <w:sz w:val="18"/>
              </w:rPr>
              <w:t>PC</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20/08/2026</w:t>
            </w:r>
          </w:p>
        </w:tc>
        <w:tc>
          <w:tcPr>
            <w:tcW w:type="dxa" w:w="1959"/>
            <w:tcMar>
              <w:top w:w="80" w:type="dxa"/>
              <w:start w:w="120" w:type="dxa"/>
              <w:bottom w:w="80" w:type="dxa"/>
              <w:end w:w="120" w:type="dxa"/>
            </w:tcMar>
            <w:vAlign w:val="center"/>
          </w:tcPr>
          <w:p>
            <w:pPr>
              <w:spacing w:after="0"/>
            </w:pPr>
            <w:r>
              <w:rPr>
                <w:rFonts w:ascii="Calibri" w:hAnsi="Calibri"/>
                <w:b w:val="0"/>
                <w:i w:val="0"/>
                <w:color w:val="252A2C"/>
                <w:sz w:val="18"/>
              </w:rPr>
              <w:t>à justifier</w:t>
            </w:r>
          </w:p>
        </w:tc>
      </w:tr>
      <w:tr>
        <w:trPr>
          <w:cantSplit w:val="true"/>
        </w:trPr>
        <w:tc>
          <w:tcPr>
            <w:tcW w:type="dxa" w:w="871"/>
            <w:tcMar>
              <w:top w:w="80" w:type="dxa"/>
              <w:start w:w="120" w:type="dxa"/>
              <w:bottom w:w="80" w:type="dxa"/>
              <w:end w:w="120" w:type="dxa"/>
            </w:tcMar>
            <w:vAlign w:val="center"/>
          </w:tcPr>
          <w:p>
            <w:pPr>
              <w:spacing w:after="0"/>
            </w:pPr>
            <w:r>
              <w:rPr>
                <w:rFonts w:ascii="Calibri" w:hAnsi="Calibri"/>
                <w:b w:val="0"/>
                <w:i w:val="0"/>
                <w:color w:val="252A2C"/>
                <w:sz w:val="18"/>
              </w:rPr>
              <w:t>B-03</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neuf livré aménagé</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tertiaire spécifique</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à relever</w:t>
            </w:r>
          </w:p>
        </w:tc>
        <w:tc>
          <w:tcPr>
            <w:tcW w:type="dxa" w:w="1524"/>
            <w:tcMar>
              <w:top w:w="80" w:type="dxa"/>
              <w:start w:w="120" w:type="dxa"/>
              <w:bottom w:w="80" w:type="dxa"/>
              <w:end w:w="120" w:type="dxa"/>
            </w:tcMar>
            <w:vAlign w:val="center"/>
          </w:tcPr>
          <w:p>
            <w:pPr>
              <w:spacing w:after="0"/>
            </w:pPr>
            <w:r>
              <w:rPr>
                <w:rFonts w:ascii="Calibri" w:hAnsi="Calibri"/>
                <w:b w:val="0"/>
                <w:i w:val="0"/>
                <w:color w:val="252A2C"/>
                <w:sz w:val="18"/>
              </w:rPr>
              <w:t>PC</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20/08/2026</w:t>
            </w:r>
          </w:p>
        </w:tc>
        <w:tc>
          <w:tcPr>
            <w:tcW w:type="dxa" w:w="1959"/>
            <w:tcMar>
              <w:top w:w="80" w:type="dxa"/>
              <w:start w:w="120" w:type="dxa"/>
              <w:bottom w:w="80" w:type="dxa"/>
              <w:end w:w="120" w:type="dxa"/>
            </w:tcMar>
            <w:vAlign w:val="center"/>
          </w:tcPr>
          <w:p>
            <w:pPr>
              <w:spacing w:after="0"/>
            </w:pPr>
            <w:r>
              <w:rPr>
                <w:rFonts w:ascii="Calibri" w:hAnsi="Calibri"/>
                <w:b w:val="0"/>
                <w:i w:val="0"/>
                <w:color w:val="252A2C"/>
                <w:sz w:val="18"/>
              </w:rPr>
              <w:t>à justifier</w:t>
            </w:r>
          </w:p>
        </w:tc>
      </w:tr>
      <w:tr>
        <w:trPr>
          <w:cantSplit w:val="true"/>
        </w:trPr>
        <w:tc>
          <w:tcPr>
            <w:tcW w:type="dxa" w:w="871"/>
            <w:tcMar>
              <w:top w:w="80" w:type="dxa"/>
              <w:start w:w="120" w:type="dxa"/>
              <w:bottom w:w="80" w:type="dxa"/>
              <w:end w:w="120" w:type="dxa"/>
            </w:tcMar>
            <w:vAlign w:val="center"/>
          </w:tcPr>
          <w:p>
            <w:pPr>
              <w:spacing w:after="0"/>
            </w:pPr>
            <w:r>
              <w:rPr>
                <w:rFonts w:ascii="Calibri" w:hAnsi="Calibri"/>
                <w:b w:val="0"/>
                <w:i w:val="0"/>
                <w:color w:val="252A2C"/>
                <w:sz w:val="18"/>
              </w:rPr>
              <w:t>B-04</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rénovation</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existant</w:t>
            </w:r>
          </w:p>
        </w:tc>
        <w:tc>
          <w:tcPr>
            <w:tcW w:type="dxa" w:w="1197"/>
            <w:tcMar>
              <w:top w:w="80" w:type="dxa"/>
              <w:start w:w="120" w:type="dxa"/>
              <w:bottom w:w="80" w:type="dxa"/>
              <w:end w:w="120" w:type="dxa"/>
            </w:tcMar>
            <w:vAlign w:val="center"/>
          </w:tcPr>
          <w:p>
            <w:pPr>
              <w:spacing w:after="0"/>
            </w:pPr>
            <w:r>
              <w:rPr>
                <w:rFonts w:ascii="Calibri" w:hAnsi="Calibri"/>
                <w:b w:val="0"/>
                <w:i w:val="0"/>
                <w:color w:val="252A2C"/>
                <w:sz w:val="18"/>
              </w:rPr>
              <w:t>à relever</w:t>
            </w:r>
          </w:p>
        </w:tc>
        <w:tc>
          <w:tcPr>
            <w:tcW w:type="dxa" w:w="1524"/>
            <w:tcMar>
              <w:top w:w="80" w:type="dxa"/>
              <w:start w:w="120" w:type="dxa"/>
              <w:bottom w:w="80" w:type="dxa"/>
              <w:end w:w="120" w:type="dxa"/>
            </w:tcMar>
            <w:vAlign w:val="center"/>
          </w:tcPr>
          <w:p>
            <w:pPr>
              <w:spacing w:after="0"/>
            </w:pPr>
            <w:r>
              <w:rPr>
                <w:rFonts w:ascii="Calibri" w:hAnsi="Calibri"/>
                <w:b w:val="0"/>
                <w:i w:val="0"/>
                <w:color w:val="252A2C"/>
                <w:sz w:val="18"/>
              </w:rPr>
              <w:t>travaux</w:t>
            </w:r>
          </w:p>
        </w:tc>
        <w:tc>
          <w:tcPr>
            <w:tcW w:type="dxa" w:w="1306"/>
            <w:tcMar>
              <w:top w:w="80" w:type="dxa"/>
              <w:start w:w="120" w:type="dxa"/>
              <w:bottom w:w="80" w:type="dxa"/>
              <w:end w:w="120" w:type="dxa"/>
            </w:tcMar>
            <w:vAlign w:val="center"/>
          </w:tcPr>
          <w:p>
            <w:pPr>
              <w:spacing w:after="0"/>
            </w:pPr>
            <w:r>
              <w:rPr>
                <w:rFonts w:ascii="Calibri" w:hAnsi="Calibri"/>
                <w:b w:val="0"/>
                <w:i w:val="0"/>
                <w:color w:val="252A2C"/>
                <w:sz w:val="18"/>
              </w:rPr>
              <w:t>20/08/2026</w:t>
            </w:r>
          </w:p>
        </w:tc>
        <w:tc>
          <w:tcPr>
            <w:tcW w:type="dxa" w:w="1959"/>
            <w:tcMar>
              <w:top w:w="80" w:type="dxa"/>
              <w:start w:w="120" w:type="dxa"/>
              <w:bottom w:w="80" w:type="dxa"/>
              <w:end w:w="120" w:type="dxa"/>
            </w:tcMar>
            <w:vAlign w:val="center"/>
          </w:tcPr>
          <w:p>
            <w:pPr>
              <w:spacing w:after="0"/>
            </w:pPr>
            <w:r>
              <w:rPr>
                <w:rFonts w:ascii="Calibri" w:hAnsi="Calibri"/>
                <w:b w:val="0"/>
                <w:i w:val="0"/>
                <w:color w:val="252A2C"/>
                <w:sz w:val="18"/>
              </w:rPr>
              <w:t>à justifier</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Complétez les quatre lignes, puis formulez un passage de relais RÉGIME qui distingue ce qui est établi, ce qui reste à vérifier et qui doit agir.</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p>
      <w:pPr>
        <w:pStyle w:val="Heading1"/>
        <w:pageBreakBefore/>
      </w:pPr>
      <w:r>
        <w:rPr>
          <w:rFonts w:ascii="Calibri" w:hAnsi="Calibri"/>
          <w:b/>
          <w:i w:val="0"/>
          <w:color w:val="24493D"/>
          <w:sz w:val="32"/>
        </w:rPr>
        <w:t>Ensemble 4 — Tableau des six cadrans</w:t>
      </w:r>
    </w:p>
    <w:p>
      <w:pPr>
        <w:jc w:val="center"/>
      </w:pPr>
      <w:r>
        <w:drawing>
          <wp:inline xmlns:a="http://schemas.openxmlformats.org/drawingml/2006/main" xmlns:pic="http://schemas.openxmlformats.org/drawingml/2006/picture">
            <wp:extent cx="5486400" cy="3291840"/>
            <wp:docPr id="4" name="Picture 4" descr="Six cadrans distincts : Bbio pour les besoins, Cep pour l'énergie primaire, Cep,nr pour la part non renouvelable, Icénergie pour le carbone d'exploitation, Icconstruction pour le carbone de construction et DH pour l'inconfort d'été conventionnel." title="Illustration originale IEB"/>
            <wp:cNvGraphicFramePr>
              <a:graphicFrameLocks noChangeAspect="1"/>
            </wp:cNvGraphicFramePr>
            <a:graphic>
              <a:graphicData uri="http://schemas.openxmlformats.org/drawingml/2006/picture">
                <pic:pic>
                  <pic:nvPicPr>
                    <pic:cNvPr id="0" name="ieb-asset-c02-000002__tableau-six-cadrans__v0.1.0.png"/>
                    <pic:cNvPicPr/>
                  </pic:nvPicPr>
                  <pic:blipFill>
                    <a:blip r:embed="rId14"/>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Six cadrans distincts : Bbio pour les besoins, Cep pour l'énergie primaire, Cep,nr pour la part non renouvelable, Icénergie pour le carbone d'exploitation, Icconstruction pour le carbone de construction et DH pour l'inconfort d'été conventionnel.</w:t>
      </w:r>
    </w:p>
    <w:tbl>
      <w:tblPr>
        <w:tblStyle w:val="TableGrid"/>
        <w:jc w:val="center"/>
        <w:tblLook w:firstColumn="1" w:firstRow="1" w:lastColumn="0" w:lastRow="0" w:noHBand="0" w:noVBand="1" w:val="04A0"/>
        <w:tblW w:w="9360" w:type="dxa"/>
        <w:tblInd w:w="120" w:type="dxa"/>
        <w:tblLayout w:type="fixed"/>
      </w:tblPr>
      <w:tblGrid>
        <w:gridCol w:w="1337"/>
        <w:gridCol w:w="2229"/>
        <w:gridCol w:w="2229"/>
        <w:gridCol w:w="2229"/>
        <w:gridCol w:w="1336"/>
      </w:tblGrid>
      <w:tr>
        <w:trPr>
          <w:tblHeader w:val="true"/>
          <w:cantSplit w:val="true"/>
        </w:trPr>
        <w:tc>
          <w:tcPr>
            <w:tcW w:type="dxa" w:w="1337"/>
            <w:shd w:fill="24493D"/>
            <w:tcMar>
              <w:top w:w="80" w:type="dxa"/>
              <w:start w:w="120" w:type="dxa"/>
              <w:bottom w:w="80" w:type="dxa"/>
              <w:end w:w="120" w:type="dxa"/>
            </w:tcMar>
            <w:vAlign w:val="center"/>
          </w:tcPr>
          <w:p>
            <w:pPr>
              <w:spacing w:after="0"/>
            </w:pPr>
            <w:r>
              <w:rPr>
                <w:rFonts w:ascii="Calibri" w:hAnsi="Calibri"/>
                <w:b/>
                <w:i w:val="0"/>
                <w:color w:val="FFFFFF"/>
                <w:sz w:val="18"/>
              </w:rPr>
              <w:t>Indicateur</w:t>
            </w:r>
          </w:p>
        </w:tc>
        <w:tc>
          <w:tcPr>
            <w:tcW w:type="dxa" w:w="2229"/>
            <w:shd w:fill="24493D"/>
            <w:tcMar>
              <w:top w:w="80" w:type="dxa"/>
              <w:start w:w="120" w:type="dxa"/>
              <w:bottom w:w="80" w:type="dxa"/>
              <w:end w:w="120" w:type="dxa"/>
            </w:tcMar>
            <w:vAlign w:val="center"/>
          </w:tcPr>
          <w:p>
            <w:pPr>
              <w:spacing w:after="0"/>
            </w:pPr>
            <w:r>
              <w:rPr>
                <w:rFonts w:ascii="Calibri" w:hAnsi="Calibri"/>
                <w:b/>
                <w:i w:val="0"/>
                <w:color w:val="FFFFFF"/>
                <w:sz w:val="18"/>
              </w:rPr>
              <w:t>Fonction</w:t>
            </w:r>
          </w:p>
        </w:tc>
        <w:tc>
          <w:tcPr>
            <w:tcW w:type="dxa" w:w="2229"/>
            <w:shd w:fill="24493D"/>
            <w:tcMar>
              <w:top w:w="80" w:type="dxa"/>
              <w:start w:w="120" w:type="dxa"/>
              <w:bottom w:w="80" w:type="dxa"/>
              <w:end w:w="120" w:type="dxa"/>
            </w:tcMar>
            <w:vAlign w:val="center"/>
          </w:tcPr>
          <w:p>
            <w:pPr>
              <w:spacing w:after="0"/>
            </w:pPr>
            <w:r>
              <w:rPr>
                <w:rFonts w:ascii="Calibri" w:hAnsi="Calibri"/>
                <w:b/>
                <w:i w:val="0"/>
                <w:color w:val="FFFFFF"/>
                <w:sz w:val="18"/>
              </w:rPr>
              <w:t>Leviers</w:t>
            </w:r>
          </w:p>
        </w:tc>
        <w:tc>
          <w:tcPr>
            <w:tcW w:type="dxa" w:w="2229"/>
            <w:shd w:fill="24493D"/>
            <w:tcMar>
              <w:top w:w="80" w:type="dxa"/>
              <w:start w:w="120" w:type="dxa"/>
              <w:bottom w:w="80" w:type="dxa"/>
              <w:end w:w="120" w:type="dxa"/>
            </w:tcMar>
            <w:vAlign w:val="center"/>
          </w:tcPr>
          <w:p>
            <w:pPr>
              <w:spacing w:after="0"/>
            </w:pPr>
            <w:r>
              <w:rPr>
                <w:rFonts w:ascii="Calibri" w:hAnsi="Calibri"/>
                <w:b/>
                <w:i w:val="0"/>
                <w:color w:val="FFFFFF"/>
                <w:sz w:val="18"/>
              </w:rPr>
              <w:t>Résultat / maximum fictifs</w:t>
            </w:r>
          </w:p>
        </w:tc>
        <w:tc>
          <w:tcPr>
            <w:tcW w:type="dxa" w:w="1336"/>
            <w:shd w:fill="24493D"/>
            <w:tcMar>
              <w:top w:w="80" w:type="dxa"/>
              <w:start w:w="120" w:type="dxa"/>
              <w:bottom w:w="80" w:type="dxa"/>
              <w:end w:w="120" w:type="dxa"/>
            </w:tcMar>
            <w:vAlign w:val="center"/>
          </w:tcPr>
          <w:p>
            <w:pPr>
              <w:spacing w:after="0"/>
            </w:pPr>
            <w:r>
              <w:rPr>
                <w:rFonts w:ascii="Calibri" w:hAnsi="Calibri"/>
                <w:b/>
                <w:i w:val="0"/>
                <w:color w:val="FFFFFF"/>
                <w:sz w:val="18"/>
              </w:rPr>
              <w:t>Marge fictive</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Bbio</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besoins conventionnels</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enveloppe, orientation, éclairage</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83 / max. fictif 89</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+6</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Cep</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énergie primaire</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systèmes et usages</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71 / max. fictif 78</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+7</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Cep,nr</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énergie primaire non renouvelable</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origine de l'énergie</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58 / max. fictif 64</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+6</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Icénergie</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carbone de l'exploitation</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vecteurs énergétiques</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392 / max. fictif 430</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+38</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Icconstruction</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carbone composants et chantier</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quantités, données et cycles</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655 / max. fictif 690</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+35</w:t>
            </w:r>
          </w:p>
        </w:tc>
      </w:tr>
      <w:tr>
        <w:trPr>
          <w:cantSplit w:val="true"/>
        </w:trPr>
        <w:tc>
          <w:tcPr>
            <w:tcW w:type="dxa" w:w="1337"/>
            <w:tcMar>
              <w:top w:w="80" w:type="dxa"/>
              <w:start w:w="120" w:type="dxa"/>
              <w:bottom w:w="80" w:type="dxa"/>
              <w:end w:w="120" w:type="dxa"/>
            </w:tcMar>
            <w:vAlign w:val="center"/>
          </w:tcPr>
          <w:p>
            <w:pPr>
              <w:spacing w:after="0"/>
            </w:pPr>
            <w:r>
              <w:rPr>
                <w:rFonts w:ascii="Calibri" w:hAnsi="Calibri"/>
                <w:b w:val="0"/>
                <w:i w:val="0"/>
                <w:color w:val="252A2C"/>
                <w:sz w:val="18"/>
              </w:rPr>
              <w:t>DH</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inconfort d'été conventionnel</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protections, inertie, ventilation</w:t>
            </w:r>
          </w:p>
        </w:tc>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815 / max. fictif 900</w:t>
            </w:r>
          </w:p>
        </w:tc>
        <w:tc>
          <w:tcPr>
            <w:tcW w:type="dxa" w:w="1336"/>
            <w:tcMar>
              <w:top w:w="80" w:type="dxa"/>
              <w:start w:w="120" w:type="dxa"/>
              <w:bottom w:w="80" w:type="dxa"/>
              <w:end w:w="120" w:type="dxa"/>
            </w:tcMar>
            <w:vAlign w:val="center"/>
          </w:tcPr>
          <w:p>
            <w:pPr>
              <w:spacing w:after="0"/>
            </w:pPr>
            <w:r>
              <w:rPr>
                <w:rFonts w:ascii="Calibri" w:hAnsi="Calibri"/>
                <w:b w:val="0"/>
                <w:i w:val="0"/>
                <w:color w:val="252A2C"/>
                <w:sz w:val="18"/>
              </w:rPr>
              <w:t>+85</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3566"/>
        <w:gridCol w:w="5794"/>
      </w:tblGrid>
      <w:tr>
        <w:trPr>
          <w:tblHeader w:val="true"/>
          <w:cantSplit w:val="true"/>
        </w:trPr>
        <w:tc>
          <w:tcPr>
            <w:tcW w:type="dxa" w:w="3566"/>
            <w:shd w:fill="24493D"/>
            <w:tcMar>
              <w:top w:w="80" w:type="dxa"/>
              <w:start w:w="120" w:type="dxa"/>
              <w:bottom w:w="80" w:type="dxa"/>
              <w:end w:w="120" w:type="dxa"/>
            </w:tcMar>
            <w:vAlign w:val="center"/>
          </w:tcPr>
          <w:p>
            <w:pPr>
              <w:spacing w:after="0"/>
            </w:pPr>
            <w:r>
              <w:rPr>
                <w:rFonts w:ascii="Calibri" w:hAnsi="Calibri"/>
                <w:b/>
                <w:i w:val="0"/>
                <w:color w:val="FFFFFF"/>
                <w:sz w:val="18"/>
              </w:rPr>
              <w:t>Erreur d'interprétation</w:t>
            </w:r>
          </w:p>
        </w:tc>
        <w:tc>
          <w:tcPr>
            <w:tcW w:type="dxa" w:w="5794"/>
            <w:shd w:fill="24493D"/>
            <w:tcMar>
              <w:top w:w="80" w:type="dxa"/>
              <w:start w:w="120" w:type="dxa"/>
              <w:bottom w:w="80" w:type="dxa"/>
              <w:end w:w="120" w:type="dxa"/>
            </w:tcMar>
            <w:vAlign w:val="center"/>
          </w:tcPr>
          <w:p>
            <w:pPr>
              <w:spacing w:after="0"/>
            </w:pPr>
            <w:r>
              <w:rPr>
                <w:rFonts w:ascii="Calibri" w:hAnsi="Calibri"/>
                <w:b/>
                <w:i w:val="0"/>
                <w:color w:val="FFFFFF"/>
                <w:sz w:val="18"/>
              </w:rPr>
              <w:t>Correction attendue</w:t>
            </w:r>
          </w:p>
        </w:tc>
      </w:tr>
      <w:tr>
        <w:trPr>
          <w:cantSplit w:val="true"/>
        </w:trPr>
        <w:tc>
          <w:tcPr>
            <w:tcW w:type="dxa" w:w="3566"/>
            <w:tcMar>
              <w:top w:w="80" w:type="dxa"/>
              <w:start w:w="120" w:type="dxa"/>
              <w:bottom w:w="80" w:type="dxa"/>
              <w:end w:w="120" w:type="dxa"/>
            </w:tcMar>
            <w:vAlign w:val="center"/>
          </w:tcPr>
          <w:p>
            <w:pPr>
              <w:spacing w:after="0"/>
            </w:pPr>
            <w:r>
              <w:rPr>
                <w:rFonts w:ascii="Calibri" w:hAnsi="Calibri"/>
                <w:b w:val="0"/>
                <w:i w:val="0"/>
                <w:color w:val="252A2C"/>
                <w:sz w:val="18"/>
              </w:rPr>
              <w:t>Bbio favorable = consommation réelle faible</w:t>
            </w:r>
          </w:p>
        </w:tc>
        <w:tc>
          <w:tcPr>
            <w:tcW w:type="dxa" w:w="5794"/>
            <w:tcMar>
              <w:top w:w="80" w:type="dxa"/>
              <w:start w:w="120" w:type="dxa"/>
              <w:bottom w:w="80" w:type="dxa"/>
              <w:end w:w="120" w:type="dxa"/>
            </w:tcMar>
            <w:vAlign w:val="center"/>
          </w:tcPr>
          <w:p>
            <w:pPr>
              <w:spacing w:after="0"/>
            </w:pPr>
            <w:r>
              <w:rPr>
                <w:rFonts w:ascii="Calibri" w:hAnsi="Calibri"/>
                <w:b w:val="0"/>
                <w:i w:val="0"/>
                <w:color w:val="252A2C"/>
                <w:sz w:val="18"/>
              </w:rPr>
              <w:t>Bbio est un besoin conventionnel, pas une facture</w:t>
            </w:r>
          </w:p>
        </w:tc>
      </w:tr>
      <w:tr>
        <w:trPr>
          <w:cantSplit w:val="true"/>
        </w:trPr>
        <w:tc>
          <w:tcPr>
            <w:tcW w:type="dxa" w:w="3566"/>
            <w:tcMar>
              <w:top w:w="80" w:type="dxa"/>
              <w:start w:w="120" w:type="dxa"/>
              <w:bottom w:w="80" w:type="dxa"/>
              <w:end w:w="120" w:type="dxa"/>
            </w:tcMar>
            <w:vAlign w:val="center"/>
          </w:tcPr>
          <w:p>
            <w:pPr>
              <w:spacing w:after="0"/>
            </w:pPr>
            <w:r>
              <w:rPr>
                <w:rFonts w:ascii="Calibri" w:hAnsi="Calibri"/>
                <w:b w:val="0"/>
                <w:i w:val="0"/>
                <w:color w:val="252A2C"/>
                <w:sz w:val="18"/>
              </w:rPr>
              <w:t>Icconstruction favorable = produit conforme</w:t>
            </w:r>
          </w:p>
        </w:tc>
        <w:tc>
          <w:tcPr>
            <w:tcW w:type="dxa" w:w="5794"/>
            <w:tcMar>
              <w:top w:w="80" w:type="dxa"/>
              <w:start w:w="120" w:type="dxa"/>
              <w:bottom w:w="80" w:type="dxa"/>
              <w:end w:w="120" w:type="dxa"/>
            </w:tcMar>
            <w:vAlign w:val="center"/>
          </w:tcPr>
          <w:p>
            <w:pPr>
              <w:spacing w:after="0"/>
            </w:pPr>
            <w:r>
              <w:rPr>
                <w:rFonts w:ascii="Calibri" w:hAnsi="Calibri"/>
                <w:b w:val="0"/>
                <w:i w:val="0"/>
                <w:color w:val="252A2C"/>
                <w:sz w:val="18"/>
              </w:rPr>
              <w:t>l'indicateur agrège des composants et le chantier selon une méthode réglementaire</w:t>
            </w:r>
          </w:p>
        </w:tc>
      </w:tr>
      <w:tr>
        <w:trPr>
          <w:cantSplit w:val="true"/>
        </w:trPr>
        <w:tc>
          <w:tcPr>
            <w:tcW w:type="dxa" w:w="3566"/>
            <w:tcMar>
              <w:top w:w="80" w:type="dxa"/>
              <w:start w:w="120" w:type="dxa"/>
              <w:bottom w:w="80" w:type="dxa"/>
              <w:end w:w="120" w:type="dxa"/>
            </w:tcMar>
            <w:vAlign w:val="center"/>
          </w:tcPr>
          <w:p>
            <w:pPr>
              <w:spacing w:after="0"/>
            </w:pPr>
            <w:r>
              <w:rPr>
                <w:rFonts w:ascii="Calibri" w:hAnsi="Calibri"/>
                <w:b w:val="0"/>
                <w:i w:val="0"/>
                <w:color w:val="252A2C"/>
                <w:sz w:val="18"/>
              </w:rPr>
              <w:t>DH favorable = confort garanti</w:t>
            </w:r>
          </w:p>
        </w:tc>
        <w:tc>
          <w:tcPr>
            <w:tcW w:type="dxa" w:w="5794"/>
            <w:tcMar>
              <w:top w:w="80" w:type="dxa"/>
              <w:start w:w="120" w:type="dxa"/>
              <w:bottom w:w="80" w:type="dxa"/>
              <w:end w:w="120" w:type="dxa"/>
            </w:tcMar>
            <w:vAlign w:val="center"/>
          </w:tcPr>
          <w:p>
            <w:pPr>
              <w:spacing w:after="0"/>
            </w:pPr>
            <w:r>
              <w:rPr>
                <w:rFonts w:ascii="Calibri" w:hAnsi="Calibri"/>
                <w:b w:val="0"/>
                <w:i w:val="0"/>
                <w:color w:val="252A2C"/>
                <w:sz w:val="18"/>
              </w:rPr>
              <w:t>DH renseigne un risque conventionnel, pas chaque usage futur</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Pour chaque cadran, rédigez une phrase qui nomme la fonction, la marge, une hypothèse sensible et l'action à engager si la marge se réduit.</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p>
      <w:pPr>
        <w:pStyle w:val="Heading1"/>
        <w:pageBreakBefore/>
      </w:pPr>
      <w:r>
        <w:rPr>
          <w:rFonts w:ascii="Calibri" w:hAnsi="Calibri"/>
          <w:b/>
          <w:i w:val="0"/>
          <w:color w:val="24493D"/>
          <w:sz w:val="32"/>
        </w:rPr>
        <w:t>Ensemble 5 — Piste ACV et registre des variantes</w:t>
      </w:r>
    </w:p>
    <w:p>
      <w:pPr>
        <w:jc w:val="center"/>
      </w:pPr>
      <w:r>
        <w:drawing>
          <wp:inline xmlns:a="http://schemas.openxmlformats.org/drawingml/2006/main" xmlns:pic="http://schemas.openxmlformats.org/drawingml/2006/picture">
            <wp:extent cx="5486400" cy="3291840"/>
            <wp:docPr id="5" name="Picture 5" descr="Chaîne ACV en six traces : composant, quantité, unité fonctionnelle, donnée environnementale, version et preuve d'adéquation. Le registre de variante relie objet, indicateurs, données, recalcul, décision et état exécuté." title="Illustration originale IEB"/>
            <wp:cNvGraphicFramePr>
              <a:graphicFrameLocks noChangeAspect="1"/>
            </wp:cNvGraphicFramePr>
            <a:graphic>
              <a:graphicData uri="http://schemas.openxmlformats.org/drawingml/2006/picture">
                <pic:pic>
                  <pic:nvPicPr>
                    <pic:cNvPr id="0" name="ieb-asset-c02-000003__piste-acv-variantes__v0.1.0.png"/>
                    <pic:cNvPicPr/>
                  </pic:nvPicPr>
                  <pic:blipFill>
                    <a:blip r:embed="rId15"/>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Chaîne ACV en six traces : composant, quantité, unité fonctionnelle, donnée environnementale, version et preuve d'adéquation. Le registre de variante relie objet, indicateurs, données, recalcul, décision et état exécuté.</w:t>
      </w:r>
    </w:p>
    <w:tbl>
      <w:tblPr>
        <w:tblStyle w:val="TableGrid"/>
        <w:jc w:val="center"/>
        <w:tblLook w:firstColumn="1" w:firstRow="1" w:lastColumn="0" w:lastRow="0" w:noHBand="0" w:noVBand="1" w:val="04A0"/>
        <w:tblW w:w="9360" w:type="dxa"/>
        <w:tblInd w:w="120" w:type="dxa"/>
        <w:tblLayout w:type="fixed"/>
      </w:tblPr>
      <w:tblGrid>
        <w:gridCol w:w="780"/>
        <w:gridCol w:w="1560"/>
        <w:gridCol w:w="1003"/>
        <w:gridCol w:w="891"/>
        <w:gridCol w:w="1560"/>
        <w:gridCol w:w="891"/>
        <w:gridCol w:w="2675"/>
      </w:tblGrid>
      <w:tr>
        <w:trPr>
          <w:tblHeader w:val="true"/>
          <w:cantSplit w:val="true"/>
        </w:trPr>
        <w:tc>
          <w:tcPr>
            <w:tcW w:type="dxa" w:w="780"/>
            <w:shd w:fill="24493D"/>
            <w:tcMar>
              <w:top w:w="80" w:type="dxa"/>
              <w:start w:w="120" w:type="dxa"/>
              <w:bottom w:w="80" w:type="dxa"/>
              <w:end w:w="120" w:type="dxa"/>
            </w:tcMar>
            <w:vAlign w:val="center"/>
          </w:tcPr>
          <w:p>
            <w:pPr>
              <w:spacing w:after="0"/>
            </w:pPr>
            <w:r>
              <w:rPr>
                <w:rFonts w:ascii="Calibri" w:hAnsi="Calibri"/>
                <w:b/>
                <w:i w:val="0"/>
                <w:color w:val="FFFFFF"/>
                <w:sz w:val="18"/>
              </w:rPr>
              <w:t>ID</w:t>
            </w:r>
          </w:p>
        </w:tc>
        <w:tc>
          <w:tcPr>
            <w:tcW w:type="dxa" w:w="1560"/>
            <w:shd w:fill="24493D"/>
            <w:tcMar>
              <w:top w:w="80" w:type="dxa"/>
              <w:start w:w="120" w:type="dxa"/>
              <w:bottom w:w="80" w:type="dxa"/>
              <w:end w:w="120" w:type="dxa"/>
            </w:tcMar>
            <w:vAlign w:val="center"/>
          </w:tcPr>
          <w:p>
            <w:pPr>
              <w:spacing w:after="0"/>
            </w:pPr>
            <w:r>
              <w:rPr>
                <w:rFonts w:ascii="Calibri" w:hAnsi="Calibri"/>
                <w:b/>
                <w:i w:val="0"/>
                <w:color w:val="FFFFFF"/>
                <w:sz w:val="18"/>
              </w:rPr>
              <w:t>Composant</w:t>
            </w:r>
          </w:p>
        </w:tc>
        <w:tc>
          <w:tcPr>
            <w:tcW w:type="dxa" w:w="1003"/>
            <w:shd w:fill="24493D"/>
            <w:tcMar>
              <w:top w:w="80" w:type="dxa"/>
              <w:start w:w="120" w:type="dxa"/>
              <w:bottom w:w="80" w:type="dxa"/>
              <w:end w:w="120" w:type="dxa"/>
            </w:tcMar>
            <w:vAlign w:val="center"/>
          </w:tcPr>
          <w:p>
            <w:pPr>
              <w:spacing w:after="0"/>
            </w:pPr>
            <w:r>
              <w:rPr>
                <w:rFonts w:ascii="Calibri" w:hAnsi="Calibri"/>
                <w:b/>
                <w:i w:val="0"/>
                <w:color w:val="FFFFFF"/>
                <w:sz w:val="18"/>
              </w:rPr>
              <w:t>Quantité</w:t>
            </w:r>
          </w:p>
        </w:tc>
        <w:tc>
          <w:tcPr>
            <w:tcW w:type="dxa" w:w="891"/>
            <w:shd w:fill="24493D"/>
            <w:tcMar>
              <w:top w:w="80" w:type="dxa"/>
              <w:start w:w="120" w:type="dxa"/>
              <w:bottom w:w="80" w:type="dxa"/>
              <w:end w:w="120" w:type="dxa"/>
            </w:tcMar>
            <w:vAlign w:val="center"/>
          </w:tcPr>
          <w:p>
            <w:pPr>
              <w:spacing w:after="0"/>
            </w:pPr>
            <w:r>
              <w:rPr>
                <w:rFonts w:ascii="Calibri" w:hAnsi="Calibri"/>
                <w:b/>
                <w:i w:val="0"/>
                <w:color w:val="FFFFFF"/>
                <w:sz w:val="18"/>
              </w:rPr>
              <w:t>Unité</w:t>
            </w:r>
          </w:p>
        </w:tc>
        <w:tc>
          <w:tcPr>
            <w:tcW w:type="dxa" w:w="1560"/>
            <w:shd w:fill="24493D"/>
            <w:tcMar>
              <w:top w:w="80" w:type="dxa"/>
              <w:start w:w="120" w:type="dxa"/>
              <w:bottom w:w="80" w:type="dxa"/>
              <w:end w:w="120" w:type="dxa"/>
            </w:tcMar>
            <w:vAlign w:val="center"/>
          </w:tcPr>
          <w:p>
            <w:pPr>
              <w:spacing w:after="0"/>
            </w:pPr>
            <w:r>
              <w:rPr>
                <w:rFonts w:ascii="Calibri" w:hAnsi="Calibri"/>
                <w:b/>
                <w:i w:val="0"/>
                <w:color w:val="FFFFFF"/>
                <w:sz w:val="18"/>
              </w:rPr>
              <w:t>Donnée</w:t>
            </w:r>
          </w:p>
        </w:tc>
        <w:tc>
          <w:tcPr>
            <w:tcW w:type="dxa" w:w="891"/>
            <w:shd w:fill="24493D"/>
            <w:tcMar>
              <w:top w:w="80" w:type="dxa"/>
              <w:start w:w="120" w:type="dxa"/>
              <w:bottom w:w="80" w:type="dxa"/>
              <w:end w:w="120" w:type="dxa"/>
            </w:tcMar>
            <w:vAlign w:val="center"/>
          </w:tcPr>
          <w:p>
            <w:pPr>
              <w:spacing w:after="0"/>
            </w:pPr>
            <w:r>
              <w:rPr>
                <w:rFonts w:ascii="Calibri" w:hAnsi="Calibri"/>
                <w:b/>
                <w:i w:val="0"/>
                <w:color w:val="FFFFFF"/>
                <w:sz w:val="18"/>
              </w:rPr>
              <w:t>État</w:t>
            </w:r>
          </w:p>
        </w:tc>
        <w:tc>
          <w:tcPr>
            <w:tcW w:type="dxa" w:w="2675"/>
            <w:shd w:fill="24493D"/>
            <w:tcMar>
              <w:top w:w="80" w:type="dxa"/>
              <w:start w:w="120" w:type="dxa"/>
              <w:bottom w:w="80" w:type="dxa"/>
              <w:end w:w="120" w:type="dxa"/>
            </w:tcMar>
            <w:vAlign w:val="center"/>
          </w:tcPr>
          <w:p>
            <w:pPr>
              <w:spacing w:after="0"/>
            </w:pPr>
            <w:r>
              <w:rPr>
                <w:rFonts w:ascii="Calibri" w:hAnsi="Calibri"/>
                <w:b/>
                <w:i w:val="0"/>
                <w:color w:val="FFFFFF"/>
                <w:sz w:val="18"/>
              </w:rPr>
              <w:t>Manque / contrôle</w:t>
            </w:r>
          </w:p>
        </w:tc>
      </w:tr>
      <w:tr>
        <w:trPr>
          <w:cantSplit w:val="true"/>
        </w:trPr>
        <w:tc>
          <w:tcPr>
            <w:tcW w:type="dxa" w:w="780"/>
            <w:tcMar>
              <w:top w:w="80" w:type="dxa"/>
              <w:start w:w="120" w:type="dxa"/>
              <w:bottom w:w="80" w:type="dxa"/>
              <w:end w:w="120" w:type="dxa"/>
            </w:tcMar>
            <w:vAlign w:val="center"/>
          </w:tcPr>
          <w:p>
            <w:pPr>
              <w:spacing w:after="0"/>
            </w:pPr>
            <w:r>
              <w:rPr>
                <w:rFonts w:ascii="Calibri" w:hAnsi="Calibri"/>
                <w:b w:val="0"/>
                <w:i w:val="0"/>
                <w:color w:val="252A2C"/>
                <w:sz w:val="18"/>
              </w:rPr>
              <w:t>A01</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isolant I-BV-22</w:t>
            </w:r>
          </w:p>
        </w:tc>
        <w:tc>
          <w:tcPr>
            <w:tcW w:type="dxa" w:w="1003"/>
            <w:tcMar>
              <w:top w:w="80" w:type="dxa"/>
              <w:start w:w="120" w:type="dxa"/>
              <w:bottom w:w="80" w:type="dxa"/>
              <w:end w:w="120" w:type="dxa"/>
            </w:tcMar>
            <w:vAlign w:val="center"/>
          </w:tcPr>
          <w:p>
            <w:pPr>
              <w:spacing w:after="0"/>
            </w:pPr>
            <w:r>
              <w:rPr>
                <w:rFonts w:ascii="Calibri" w:hAnsi="Calibri"/>
                <w:b w:val="0"/>
                <w:i w:val="0"/>
                <w:color w:val="252A2C"/>
                <w:sz w:val="18"/>
              </w:rPr>
              <w:t>1 480</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m²</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FDES fictive V2</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prévu</w:t>
            </w:r>
          </w:p>
        </w:tc>
        <w:tc>
          <w:tcPr>
            <w:tcW w:type="dxa" w:w="2675"/>
            <w:tcMar>
              <w:top w:w="80" w:type="dxa"/>
              <w:start w:w="120" w:type="dxa"/>
              <w:bottom w:w="80" w:type="dxa"/>
              <w:end w:w="120" w:type="dxa"/>
            </w:tcMar>
            <w:vAlign w:val="center"/>
          </w:tcPr>
          <w:p>
            <w:pPr>
              <w:spacing w:after="0"/>
            </w:pPr>
            <w:r>
              <w:rPr>
                <w:rFonts w:ascii="Calibri" w:hAnsi="Calibri"/>
                <w:b w:val="0"/>
                <w:i w:val="0"/>
                <w:color w:val="252A2C"/>
                <w:sz w:val="18"/>
              </w:rPr>
              <w:t>identité et épaisseur à rapprocher</w:t>
            </w:r>
          </w:p>
        </w:tc>
      </w:tr>
      <w:tr>
        <w:trPr>
          <w:cantSplit w:val="true"/>
        </w:trPr>
        <w:tc>
          <w:tcPr>
            <w:tcW w:type="dxa" w:w="780"/>
            <w:tcMar>
              <w:top w:w="80" w:type="dxa"/>
              <w:start w:w="120" w:type="dxa"/>
              <w:bottom w:w="80" w:type="dxa"/>
              <w:end w:w="120" w:type="dxa"/>
            </w:tcMar>
            <w:vAlign w:val="center"/>
          </w:tcPr>
          <w:p>
            <w:pPr>
              <w:spacing w:after="0"/>
            </w:pPr>
            <w:r>
              <w:rPr>
                <w:rFonts w:ascii="Calibri" w:hAnsi="Calibri"/>
                <w:b w:val="0"/>
                <w:i w:val="0"/>
                <w:color w:val="252A2C"/>
                <w:sz w:val="18"/>
              </w:rPr>
              <w:t>A02</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béton B-BV-31</w:t>
            </w:r>
          </w:p>
        </w:tc>
        <w:tc>
          <w:tcPr>
            <w:tcW w:type="dxa" w:w="1003"/>
            <w:tcMar>
              <w:top w:w="80" w:type="dxa"/>
              <w:start w:w="120" w:type="dxa"/>
              <w:bottom w:w="80" w:type="dxa"/>
              <w:end w:w="120" w:type="dxa"/>
            </w:tcMar>
            <w:vAlign w:val="center"/>
          </w:tcPr>
          <w:p>
            <w:pPr>
              <w:spacing w:after="0"/>
            </w:pPr>
            <w:r>
              <w:rPr>
                <w:rFonts w:ascii="Calibri" w:hAnsi="Calibri"/>
                <w:b w:val="0"/>
                <w:i w:val="0"/>
                <w:color w:val="252A2C"/>
                <w:sz w:val="18"/>
              </w:rPr>
              <w:t>640</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m³</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FDES fictive V1</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prévu</w:t>
            </w:r>
          </w:p>
        </w:tc>
        <w:tc>
          <w:tcPr>
            <w:tcW w:type="dxa" w:w="2675"/>
            <w:tcMar>
              <w:top w:w="80" w:type="dxa"/>
              <w:start w:w="120" w:type="dxa"/>
              <w:bottom w:w="80" w:type="dxa"/>
              <w:end w:w="120" w:type="dxa"/>
            </w:tcMar>
            <w:vAlign w:val="center"/>
          </w:tcPr>
          <w:p>
            <w:pPr>
              <w:spacing w:after="0"/>
            </w:pPr>
            <w:r>
              <w:rPr>
                <w:rFonts w:ascii="Calibri" w:hAnsi="Calibri"/>
                <w:b w:val="0"/>
                <w:i w:val="0"/>
                <w:color w:val="252A2C"/>
                <w:sz w:val="18"/>
              </w:rPr>
              <w:t>classe et fournisseur non démontrés</w:t>
            </w:r>
          </w:p>
        </w:tc>
      </w:tr>
      <w:tr>
        <w:trPr>
          <w:cantSplit w:val="true"/>
        </w:trPr>
        <w:tc>
          <w:tcPr>
            <w:tcW w:type="dxa" w:w="780"/>
            <w:tcMar>
              <w:top w:w="80" w:type="dxa"/>
              <w:start w:w="120" w:type="dxa"/>
              <w:bottom w:w="80" w:type="dxa"/>
              <w:end w:w="120" w:type="dxa"/>
            </w:tcMar>
            <w:vAlign w:val="center"/>
          </w:tcPr>
          <w:p>
            <w:pPr>
              <w:spacing w:after="0"/>
            </w:pPr>
            <w:r>
              <w:rPr>
                <w:rFonts w:ascii="Calibri" w:hAnsi="Calibri"/>
                <w:b w:val="0"/>
                <w:i w:val="0"/>
                <w:color w:val="252A2C"/>
                <w:sz w:val="18"/>
              </w:rPr>
              <w:t>A03</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PAC P-BV-07</w:t>
            </w:r>
          </w:p>
        </w:tc>
        <w:tc>
          <w:tcPr>
            <w:tcW w:type="dxa" w:w="1003"/>
            <w:tcMar>
              <w:top w:w="80" w:type="dxa"/>
              <w:start w:w="120" w:type="dxa"/>
              <w:bottom w:w="80" w:type="dxa"/>
              <w:end w:w="120" w:type="dxa"/>
            </w:tcMar>
            <w:vAlign w:val="center"/>
          </w:tcPr>
          <w:p>
            <w:pPr>
              <w:spacing w:after="0"/>
            </w:pPr>
            <w:r>
              <w:rPr>
                <w:rFonts w:ascii="Calibri" w:hAnsi="Calibri"/>
                <w:b w:val="0"/>
                <w:i w:val="0"/>
                <w:color w:val="252A2C"/>
                <w:sz w:val="18"/>
              </w:rPr>
              <w:t>12</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unité</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PEP fictif V3</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prévu</w:t>
            </w:r>
          </w:p>
        </w:tc>
        <w:tc>
          <w:tcPr>
            <w:tcW w:type="dxa" w:w="2675"/>
            <w:tcMar>
              <w:top w:w="80" w:type="dxa"/>
              <w:start w:w="120" w:type="dxa"/>
              <w:bottom w:w="80" w:type="dxa"/>
              <w:end w:w="120" w:type="dxa"/>
            </w:tcMar>
            <w:vAlign w:val="center"/>
          </w:tcPr>
          <w:p>
            <w:pPr>
              <w:spacing w:after="0"/>
            </w:pPr>
            <w:r>
              <w:rPr>
                <w:rFonts w:ascii="Calibri" w:hAnsi="Calibri"/>
                <w:b w:val="0"/>
                <w:i w:val="0"/>
                <w:color w:val="252A2C"/>
                <w:sz w:val="18"/>
              </w:rPr>
              <w:t>puissance et appoint à rapprocher</w:t>
            </w:r>
          </w:p>
        </w:tc>
      </w:tr>
      <w:tr>
        <w:trPr>
          <w:cantSplit w:val="true"/>
        </w:trPr>
        <w:tc>
          <w:tcPr>
            <w:tcW w:type="dxa" w:w="780"/>
            <w:tcMar>
              <w:top w:w="80" w:type="dxa"/>
              <w:start w:w="120" w:type="dxa"/>
              <w:bottom w:w="80" w:type="dxa"/>
              <w:end w:w="120" w:type="dxa"/>
            </w:tcMar>
            <w:vAlign w:val="center"/>
          </w:tcPr>
          <w:p>
            <w:pPr>
              <w:spacing w:after="0"/>
            </w:pPr>
            <w:r>
              <w:rPr>
                <w:rFonts w:ascii="Calibri" w:hAnsi="Calibri"/>
                <w:b w:val="0"/>
                <w:i w:val="0"/>
                <w:color w:val="252A2C"/>
                <w:sz w:val="18"/>
              </w:rPr>
              <w:t>A04</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brise-soleil S-BV-04</w:t>
            </w:r>
          </w:p>
        </w:tc>
        <w:tc>
          <w:tcPr>
            <w:tcW w:type="dxa" w:w="1003"/>
            <w:tcMar>
              <w:top w:w="80" w:type="dxa"/>
              <w:start w:w="120" w:type="dxa"/>
              <w:bottom w:w="80" w:type="dxa"/>
              <w:end w:w="120" w:type="dxa"/>
            </w:tcMar>
            <w:vAlign w:val="center"/>
          </w:tcPr>
          <w:p>
            <w:pPr>
              <w:spacing w:after="0"/>
            </w:pPr>
            <w:r>
              <w:rPr>
                <w:rFonts w:ascii="Calibri" w:hAnsi="Calibri"/>
                <w:b w:val="0"/>
                <w:i w:val="0"/>
                <w:color w:val="252A2C"/>
                <w:sz w:val="18"/>
              </w:rPr>
              <w:t>84</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unité</w:t>
            </w:r>
          </w:p>
        </w:tc>
        <w:tc>
          <w:tcPr>
            <w:tcW w:type="dxa" w:w="1560"/>
            <w:tcMar>
              <w:top w:w="80" w:type="dxa"/>
              <w:start w:w="120" w:type="dxa"/>
              <w:bottom w:w="80" w:type="dxa"/>
              <w:end w:w="120" w:type="dxa"/>
            </w:tcMar>
            <w:vAlign w:val="center"/>
          </w:tcPr>
          <w:p>
            <w:pPr>
              <w:spacing w:after="0"/>
            </w:pPr>
            <w:r>
              <w:rPr>
                <w:rFonts w:ascii="Calibri" w:hAnsi="Calibri"/>
                <w:b w:val="0"/>
                <w:i w:val="0"/>
                <w:color w:val="252A2C"/>
                <w:sz w:val="18"/>
              </w:rPr>
              <w:t>donnée par défaut fictive</w:t>
            </w:r>
          </w:p>
        </w:tc>
        <w:tc>
          <w:tcPr>
            <w:tcW w:type="dxa" w:w="891"/>
            <w:tcMar>
              <w:top w:w="80" w:type="dxa"/>
              <w:start w:w="120" w:type="dxa"/>
              <w:bottom w:w="80" w:type="dxa"/>
              <w:end w:w="120" w:type="dxa"/>
            </w:tcMar>
            <w:vAlign w:val="center"/>
          </w:tcPr>
          <w:p>
            <w:pPr>
              <w:spacing w:after="0"/>
            </w:pPr>
            <w:r>
              <w:rPr>
                <w:rFonts w:ascii="Calibri" w:hAnsi="Calibri"/>
                <w:b w:val="0"/>
                <w:i w:val="0"/>
                <w:color w:val="252A2C"/>
                <w:sz w:val="18"/>
              </w:rPr>
              <w:t>prévu</w:t>
            </w:r>
          </w:p>
        </w:tc>
        <w:tc>
          <w:tcPr>
            <w:tcW w:type="dxa" w:w="2675"/>
            <w:tcMar>
              <w:top w:w="80" w:type="dxa"/>
              <w:start w:w="120" w:type="dxa"/>
              <w:bottom w:w="80" w:type="dxa"/>
              <w:end w:w="120" w:type="dxa"/>
            </w:tcMar>
            <w:vAlign w:val="center"/>
          </w:tcPr>
          <w:p>
            <w:pPr>
              <w:spacing w:after="0"/>
            </w:pPr>
            <w:r>
              <w:rPr>
                <w:rFonts w:ascii="Calibri" w:hAnsi="Calibri"/>
                <w:b w:val="0"/>
                <w:i w:val="0"/>
                <w:color w:val="252A2C"/>
                <w:sz w:val="18"/>
              </w:rPr>
              <w:t>géométrie et masse à préciser</w:t>
            </w:r>
          </w:p>
        </w:tc>
      </w:tr>
    </w:tbl>
    <w:p>
      <w:pPr>
        <w:spacing w:after="20"/>
      </w:pPr>
    </w:p>
    <w:tbl>
      <w:tblPr>
        <w:tblStyle w:val="TableGrid"/>
        <w:jc w:val="center"/>
        <w:tblLook w:firstColumn="1" w:firstRow="1" w:lastColumn="0" w:lastRow="0" w:noHBand="0" w:noVBand="1" w:val="04A0"/>
        <w:tblW w:w="9360" w:type="dxa"/>
        <w:tblInd w:w="120" w:type="dxa"/>
        <w:tblLayout w:type="fixed"/>
      </w:tblPr>
      <w:tblGrid>
        <w:gridCol w:w="797"/>
        <w:gridCol w:w="1494"/>
        <w:gridCol w:w="1792"/>
        <w:gridCol w:w="1892"/>
        <w:gridCol w:w="1593"/>
        <w:gridCol w:w="1792"/>
      </w:tblGrid>
      <w:tr>
        <w:trPr>
          <w:tblHeader w:val="true"/>
          <w:cantSplit w:val="true"/>
        </w:trPr>
        <w:tc>
          <w:tcPr>
            <w:tcW w:type="dxa" w:w="797"/>
            <w:shd w:fill="24493D"/>
            <w:tcMar>
              <w:top w:w="80" w:type="dxa"/>
              <w:start w:w="120" w:type="dxa"/>
              <w:bottom w:w="80" w:type="dxa"/>
              <w:end w:w="120" w:type="dxa"/>
            </w:tcMar>
            <w:vAlign w:val="center"/>
          </w:tcPr>
          <w:p>
            <w:pPr>
              <w:spacing w:after="0"/>
            </w:pPr>
            <w:r>
              <w:rPr>
                <w:rFonts w:ascii="Calibri" w:hAnsi="Calibri"/>
                <w:b/>
                <w:i w:val="0"/>
                <w:color w:val="FFFFFF"/>
                <w:sz w:val="18"/>
              </w:rPr>
              <w:t>Variante</w:t>
            </w:r>
          </w:p>
        </w:tc>
        <w:tc>
          <w:tcPr>
            <w:tcW w:type="dxa" w:w="1494"/>
            <w:shd w:fill="24493D"/>
            <w:tcMar>
              <w:top w:w="80" w:type="dxa"/>
              <w:start w:w="120" w:type="dxa"/>
              <w:bottom w:w="80" w:type="dxa"/>
              <w:end w:w="120" w:type="dxa"/>
            </w:tcMar>
            <w:vAlign w:val="center"/>
          </w:tcPr>
          <w:p>
            <w:pPr>
              <w:spacing w:after="0"/>
            </w:pPr>
            <w:r>
              <w:rPr>
                <w:rFonts w:ascii="Calibri" w:hAnsi="Calibri"/>
                <w:b/>
                <w:i w:val="0"/>
                <w:color w:val="FFFFFF"/>
                <w:sz w:val="18"/>
              </w:rPr>
              <w:t>Objet</w:t>
            </w:r>
          </w:p>
        </w:tc>
        <w:tc>
          <w:tcPr>
            <w:tcW w:type="dxa" w:w="1792"/>
            <w:shd w:fill="24493D"/>
            <w:tcMar>
              <w:top w:w="80" w:type="dxa"/>
              <w:start w:w="120" w:type="dxa"/>
              <w:bottom w:w="80" w:type="dxa"/>
              <w:end w:w="120" w:type="dxa"/>
            </w:tcMar>
            <w:vAlign w:val="center"/>
          </w:tcPr>
          <w:p>
            <w:pPr>
              <w:spacing w:after="0"/>
            </w:pPr>
            <w:r>
              <w:rPr>
                <w:rFonts w:ascii="Calibri" w:hAnsi="Calibri"/>
                <w:b/>
                <w:i w:val="0"/>
                <w:color w:val="FFFFFF"/>
                <w:sz w:val="18"/>
              </w:rPr>
              <w:t>Indicateurs possibles</w:t>
            </w:r>
          </w:p>
        </w:tc>
        <w:tc>
          <w:tcPr>
            <w:tcW w:type="dxa" w:w="1892"/>
            <w:shd w:fill="24493D"/>
            <w:tcMar>
              <w:top w:w="80" w:type="dxa"/>
              <w:start w:w="120" w:type="dxa"/>
              <w:bottom w:w="80" w:type="dxa"/>
              <w:end w:w="120" w:type="dxa"/>
            </w:tcMar>
            <w:vAlign w:val="center"/>
          </w:tcPr>
          <w:p>
            <w:pPr>
              <w:spacing w:after="0"/>
            </w:pPr>
            <w:r>
              <w:rPr>
                <w:rFonts w:ascii="Calibri" w:hAnsi="Calibri"/>
                <w:b/>
                <w:i w:val="0"/>
                <w:color w:val="FFFFFF"/>
                <w:sz w:val="18"/>
              </w:rPr>
              <w:t>Données / pièces</w:t>
            </w:r>
          </w:p>
        </w:tc>
        <w:tc>
          <w:tcPr>
            <w:tcW w:type="dxa" w:w="1593"/>
            <w:shd w:fill="24493D"/>
            <w:tcMar>
              <w:top w:w="80" w:type="dxa"/>
              <w:start w:w="120" w:type="dxa"/>
              <w:bottom w:w="80" w:type="dxa"/>
              <w:end w:w="120" w:type="dxa"/>
            </w:tcMar>
            <w:vAlign w:val="center"/>
          </w:tcPr>
          <w:p>
            <w:pPr>
              <w:spacing w:after="0"/>
            </w:pPr>
            <w:r>
              <w:rPr>
                <w:rFonts w:ascii="Calibri" w:hAnsi="Calibri"/>
                <w:b/>
                <w:i w:val="0"/>
                <w:color w:val="FFFFFF"/>
                <w:sz w:val="18"/>
              </w:rPr>
              <w:t>Responsables</w:t>
            </w:r>
          </w:p>
        </w:tc>
        <w:tc>
          <w:tcPr>
            <w:tcW w:type="dxa" w:w="1792"/>
            <w:shd w:fill="24493D"/>
            <w:tcMar>
              <w:top w:w="80" w:type="dxa"/>
              <w:start w:w="120" w:type="dxa"/>
              <w:bottom w:w="80" w:type="dxa"/>
              <w:end w:w="120" w:type="dxa"/>
            </w:tcMar>
            <w:vAlign w:val="center"/>
          </w:tcPr>
          <w:p>
            <w:pPr>
              <w:spacing w:after="0"/>
            </w:pPr>
            <w:r>
              <w:rPr>
                <w:rFonts w:ascii="Calibri" w:hAnsi="Calibri"/>
                <w:b/>
                <w:i w:val="0"/>
                <w:color w:val="FFFFFF"/>
                <w:sz w:val="18"/>
              </w:rPr>
              <w:t>Condition</w:t>
            </w:r>
          </w:p>
        </w:tc>
      </w:tr>
      <w:tr>
        <w:trPr>
          <w:cantSplit w:val="true"/>
        </w:trPr>
        <w:tc>
          <w:tcPr>
            <w:tcW w:type="dxa" w:w="797"/>
            <w:tcMar>
              <w:top w:w="80" w:type="dxa"/>
              <w:start w:w="120" w:type="dxa"/>
              <w:bottom w:w="80" w:type="dxa"/>
              <w:end w:w="120" w:type="dxa"/>
            </w:tcMar>
            <w:vAlign w:val="center"/>
          </w:tcPr>
          <w:p>
            <w:pPr>
              <w:spacing w:after="0"/>
            </w:pPr>
            <w:r>
              <w:rPr>
                <w:rFonts w:ascii="Calibri" w:hAnsi="Calibri"/>
                <w:b w:val="0"/>
                <w:i w:val="0"/>
                <w:color w:val="252A2C"/>
                <w:sz w:val="18"/>
              </w:rPr>
              <w:t>V01</w:t>
            </w:r>
          </w:p>
        </w:tc>
        <w:tc>
          <w:tcPr>
            <w:tcW w:type="dxa" w:w="1494"/>
            <w:tcMar>
              <w:top w:w="80" w:type="dxa"/>
              <w:start w:w="120" w:type="dxa"/>
              <w:bottom w:w="80" w:type="dxa"/>
              <w:end w:w="120" w:type="dxa"/>
            </w:tcMar>
            <w:vAlign w:val="center"/>
          </w:tcPr>
          <w:p>
            <w:pPr>
              <w:spacing w:after="0"/>
            </w:pPr>
            <w:r>
              <w:rPr>
                <w:rFonts w:ascii="Calibri" w:hAnsi="Calibri"/>
                <w:b w:val="0"/>
                <w:i w:val="0"/>
                <w:color w:val="252A2C"/>
                <w:sz w:val="18"/>
              </w:rPr>
              <w:t>isolant remplacé</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Bbio, Icconstruction</w:t>
            </w:r>
          </w:p>
        </w:tc>
        <w:tc>
          <w:tcPr>
            <w:tcW w:type="dxa" w:w="1892"/>
            <w:tcMar>
              <w:top w:w="80" w:type="dxa"/>
              <w:start w:w="120" w:type="dxa"/>
              <w:bottom w:w="80" w:type="dxa"/>
              <w:end w:w="120" w:type="dxa"/>
            </w:tcMar>
            <w:vAlign w:val="center"/>
          </w:tcPr>
          <w:p>
            <w:pPr>
              <w:spacing w:after="0"/>
            </w:pPr>
            <w:r>
              <w:rPr>
                <w:rFonts w:ascii="Calibri" w:hAnsi="Calibri"/>
                <w:b w:val="0"/>
                <w:i w:val="0"/>
                <w:color w:val="252A2C"/>
                <w:sz w:val="18"/>
              </w:rPr>
              <w:t>quantité, FDES, épaisseur</w:t>
            </w:r>
          </w:p>
        </w:tc>
        <w:tc>
          <w:tcPr>
            <w:tcW w:type="dxa" w:w="1593"/>
            <w:tcMar>
              <w:top w:w="80" w:type="dxa"/>
              <w:start w:w="120" w:type="dxa"/>
              <w:bottom w:w="80" w:type="dxa"/>
              <w:end w:w="120" w:type="dxa"/>
            </w:tcMar>
            <w:vAlign w:val="center"/>
          </w:tcPr>
          <w:p>
            <w:pPr>
              <w:spacing w:after="0"/>
            </w:pPr>
            <w:r>
              <w:rPr>
                <w:rFonts w:ascii="Calibri" w:hAnsi="Calibri"/>
                <w:b w:val="0"/>
                <w:i w:val="0"/>
                <w:color w:val="252A2C"/>
                <w:sz w:val="18"/>
              </w:rPr>
              <w:t>BET énergie + ACV</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recalcul avant visa</w:t>
            </w:r>
          </w:p>
        </w:tc>
      </w:tr>
      <w:tr>
        <w:trPr>
          <w:cantSplit w:val="true"/>
        </w:trPr>
        <w:tc>
          <w:tcPr>
            <w:tcW w:type="dxa" w:w="797"/>
            <w:tcMar>
              <w:top w:w="80" w:type="dxa"/>
              <w:start w:w="120" w:type="dxa"/>
              <w:bottom w:w="80" w:type="dxa"/>
              <w:end w:w="120" w:type="dxa"/>
            </w:tcMar>
            <w:vAlign w:val="center"/>
          </w:tcPr>
          <w:p>
            <w:pPr>
              <w:spacing w:after="0"/>
            </w:pPr>
            <w:r>
              <w:rPr>
                <w:rFonts w:ascii="Calibri" w:hAnsi="Calibri"/>
                <w:b w:val="0"/>
                <w:i w:val="0"/>
                <w:color w:val="252A2C"/>
                <w:sz w:val="18"/>
              </w:rPr>
              <w:t>V02</w:t>
            </w:r>
          </w:p>
        </w:tc>
        <w:tc>
          <w:tcPr>
            <w:tcW w:type="dxa" w:w="1494"/>
            <w:tcMar>
              <w:top w:w="80" w:type="dxa"/>
              <w:start w:w="120" w:type="dxa"/>
              <w:bottom w:w="80" w:type="dxa"/>
              <w:end w:w="120" w:type="dxa"/>
            </w:tcMar>
            <w:vAlign w:val="center"/>
          </w:tcPr>
          <w:p>
            <w:pPr>
              <w:spacing w:after="0"/>
            </w:pPr>
            <w:r>
              <w:rPr>
                <w:rFonts w:ascii="Calibri" w:hAnsi="Calibri"/>
                <w:b w:val="0"/>
                <w:i w:val="0"/>
                <w:color w:val="252A2C"/>
                <w:sz w:val="18"/>
              </w:rPr>
              <w:t>béton différent</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Icconstruction</w:t>
            </w:r>
          </w:p>
        </w:tc>
        <w:tc>
          <w:tcPr>
            <w:tcW w:type="dxa" w:w="1892"/>
            <w:tcMar>
              <w:top w:w="80" w:type="dxa"/>
              <w:start w:w="120" w:type="dxa"/>
              <w:bottom w:w="80" w:type="dxa"/>
              <w:end w:w="120" w:type="dxa"/>
            </w:tcMar>
            <w:vAlign w:val="center"/>
          </w:tcPr>
          <w:p>
            <w:pPr>
              <w:spacing w:after="0"/>
            </w:pPr>
            <w:r>
              <w:rPr>
                <w:rFonts w:ascii="Calibri" w:hAnsi="Calibri"/>
                <w:b w:val="0"/>
                <w:i w:val="0"/>
                <w:color w:val="252A2C"/>
                <w:sz w:val="18"/>
              </w:rPr>
              <w:t>volume, formulation, FDES</w:t>
            </w:r>
          </w:p>
        </w:tc>
        <w:tc>
          <w:tcPr>
            <w:tcW w:type="dxa" w:w="1593"/>
            <w:tcMar>
              <w:top w:w="80" w:type="dxa"/>
              <w:start w:w="120" w:type="dxa"/>
              <w:bottom w:w="80" w:type="dxa"/>
              <w:end w:w="120" w:type="dxa"/>
            </w:tcMar>
            <w:vAlign w:val="center"/>
          </w:tcPr>
          <w:p>
            <w:pPr>
              <w:spacing w:after="0"/>
            </w:pPr>
            <w:r>
              <w:rPr>
                <w:rFonts w:ascii="Calibri" w:hAnsi="Calibri"/>
                <w:b w:val="0"/>
                <w:i w:val="0"/>
                <w:color w:val="252A2C"/>
                <w:sz w:val="18"/>
              </w:rPr>
              <w:t>BET ACV + économiste</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documenter puis recalculer</w:t>
            </w:r>
          </w:p>
        </w:tc>
      </w:tr>
      <w:tr>
        <w:trPr>
          <w:cantSplit w:val="true"/>
        </w:trPr>
        <w:tc>
          <w:tcPr>
            <w:tcW w:type="dxa" w:w="797"/>
            <w:tcMar>
              <w:top w:w="80" w:type="dxa"/>
              <w:start w:w="120" w:type="dxa"/>
              <w:bottom w:w="80" w:type="dxa"/>
              <w:end w:w="120" w:type="dxa"/>
            </w:tcMar>
            <w:vAlign w:val="center"/>
          </w:tcPr>
          <w:p>
            <w:pPr>
              <w:spacing w:after="0"/>
            </w:pPr>
            <w:r>
              <w:rPr>
                <w:rFonts w:ascii="Calibri" w:hAnsi="Calibri"/>
                <w:b w:val="0"/>
                <w:i w:val="0"/>
                <w:color w:val="252A2C"/>
                <w:sz w:val="18"/>
              </w:rPr>
              <w:t>V03</w:t>
            </w:r>
          </w:p>
        </w:tc>
        <w:tc>
          <w:tcPr>
            <w:tcW w:type="dxa" w:w="1494"/>
            <w:tcMar>
              <w:top w:w="80" w:type="dxa"/>
              <w:start w:w="120" w:type="dxa"/>
              <w:bottom w:w="80" w:type="dxa"/>
              <w:end w:w="120" w:type="dxa"/>
            </w:tcMar>
            <w:vAlign w:val="center"/>
          </w:tcPr>
          <w:p>
            <w:pPr>
              <w:spacing w:after="0"/>
            </w:pPr>
            <w:r>
              <w:rPr>
                <w:rFonts w:ascii="Calibri" w:hAnsi="Calibri"/>
                <w:b w:val="0"/>
                <w:i w:val="0"/>
                <w:color w:val="252A2C"/>
                <w:sz w:val="18"/>
              </w:rPr>
              <w:t>PAC substituée</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Cep, Cep,nr, Icénergie</w:t>
            </w:r>
          </w:p>
        </w:tc>
        <w:tc>
          <w:tcPr>
            <w:tcW w:type="dxa" w:w="1892"/>
            <w:tcMar>
              <w:top w:w="80" w:type="dxa"/>
              <w:start w:w="120" w:type="dxa"/>
              <w:bottom w:w="80" w:type="dxa"/>
              <w:end w:w="120" w:type="dxa"/>
            </w:tcMar>
            <w:vAlign w:val="center"/>
          </w:tcPr>
          <w:p>
            <w:pPr>
              <w:spacing w:after="0"/>
            </w:pPr>
            <w:r>
              <w:rPr>
                <w:rFonts w:ascii="Calibri" w:hAnsi="Calibri"/>
                <w:b w:val="0"/>
                <w:i w:val="0"/>
                <w:color w:val="252A2C"/>
                <w:sz w:val="18"/>
              </w:rPr>
              <w:t>rendement, puissance, PEP</w:t>
            </w:r>
          </w:p>
        </w:tc>
        <w:tc>
          <w:tcPr>
            <w:tcW w:type="dxa" w:w="1593"/>
            <w:tcMar>
              <w:top w:w="80" w:type="dxa"/>
              <w:start w:w="120" w:type="dxa"/>
              <w:bottom w:w="80" w:type="dxa"/>
              <w:end w:w="120" w:type="dxa"/>
            </w:tcMar>
            <w:vAlign w:val="center"/>
          </w:tcPr>
          <w:p>
            <w:pPr>
              <w:spacing w:after="0"/>
            </w:pPr>
            <w:r>
              <w:rPr>
                <w:rFonts w:ascii="Calibri" w:hAnsi="Calibri"/>
                <w:b w:val="0"/>
                <w:i w:val="0"/>
                <w:color w:val="252A2C"/>
                <w:sz w:val="18"/>
              </w:rPr>
              <w:t>BET fluides + énergie</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recalcul et cohérence CCTP</w:t>
            </w:r>
          </w:p>
        </w:tc>
      </w:tr>
      <w:tr>
        <w:trPr>
          <w:cantSplit w:val="true"/>
        </w:trPr>
        <w:tc>
          <w:tcPr>
            <w:tcW w:type="dxa" w:w="797"/>
            <w:tcMar>
              <w:top w:w="80" w:type="dxa"/>
              <w:start w:w="120" w:type="dxa"/>
              <w:bottom w:w="80" w:type="dxa"/>
              <w:end w:w="120" w:type="dxa"/>
            </w:tcMar>
            <w:vAlign w:val="center"/>
          </w:tcPr>
          <w:p>
            <w:pPr>
              <w:spacing w:after="0"/>
            </w:pPr>
            <w:r>
              <w:rPr>
                <w:rFonts w:ascii="Calibri" w:hAnsi="Calibri"/>
                <w:b w:val="0"/>
                <w:i w:val="0"/>
                <w:color w:val="252A2C"/>
                <w:sz w:val="18"/>
              </w:rPr>
              <w:t>V04</w:t>
            </w:r>
          </w:p>
        </w:tc>
        <w:tc>
          <w:tcPr>
            <w:tcW w:type="dxa" w:w="1494"/>
            <w:tcMar>
              <w:top w:w="80" w:type="dxa"/>
              <w:start w:w="120" w:type="dxa"/>
              <w:bottom w:w="80" w:type="dxa"/>
              <w:end w:w="120" w:type="dxa"/>
            </w:tcMar>
            <w:vAlign w:val="center"/>
          </w:tcPr>
          <w:p>
            <w:pPr>
              <w:spacing w:after="0"/>
            </w:pPr>
            <w:r>
              <w:rPr>
                <w:rFonts w:ascii="Calibri" w:hAnsi="Calibri"/>
                <w:b w:val="0"/>
                <w:i w:val="0"/>
                <w:color w:val="252A2C"/>
                <w:sz w:val="18"/>
              </w:rPr>
              <w:t>protections modifiées</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Bbio, DH, énergie</w:t>
            </w:r>
          </w:p>
        </w:tc>
        <w:tc>
          <w:tcPr>
            <w:tcW w:type="dxa" w:w="1892"/>
            <w:tcMar>
              <w:top w:w="80" w:type="dxa"/>
              <w:start w:w="120" w:type="dxa"/>
              <w:bottom w:w="80" w:type="dxa"/>
              <w:end w:w="120" w:type="dxa"/>
            </w:tcMar>
            <w:vAlign w:val="center"/>
          </w:tcPr>
          <w:p>
            <w:pPr>
              <w:spacing w:after="0"/>
            </w:pPr>
            <w:r>
              <w:rPr>
                <w:rFonts w:ascii="Calibri" w:hAnsi="Calibri"/>
                <w:b w:val="0"/>
                <w:i w:val="0"/>
                <w:color w:val="252A2C"/>
                <w:sz w:val="18"/>
              </w:rPr>
              <w:t>géométrie, commande, orientation</w:t>
            </w:r>
          </w:p>
        </w:tc>
        <w:tc>
          <w:tcPr>
            <w:tcW w:type="dxa" w:w="1593"/>
            <w:tcMar>
              <w:top w:w="80" w:type="dxa"/>
              <w:start w:w="120" w:type="dxa"/>
              <w:bottom w:w="80" w:type="dxa"/>
              <w:end w:w="120" w:type="dxa"/>
            </w:tcMar>
            <w:vAlign w:val="center"/>
          </w:tcPr>
          <w:p>
            <w:pPr>
              <w:spacing w:after="0"/>
            </w:pPr>
            <w:r>
              <w:rPr>
                <w:rFonts w:ascii="Calibri" w:hAnsi="Calibri"/>
                <w:b w:val="0"/>
                <w:i w:val="0"/>
                <w:color w:val="252A2C"/>
                <w:sz w:val="18"/>
              </w:rPr>
              <w:t>architecte + BET</w:t>
            </w:r>
          </w:p>
        </w:tc>
        <w:tc>
          <w:tcPr>
            <w:tcW w:type="dxa" w:w="1792"/>
            <w:tcMar>
              <w:top w:w="80" w:type="dxa"/>
              <w:start w:w="120" w:type="dxa"/>
              <w:bottom w:w="80" w:type="dxa"/>
              <w:end w:w="120" w:type="dxa"/>
            </w:tcMar>
            <w:vAlign w:val="center"/>
          </w:tcPr>
          <w:p>
            <w:pPr>
              <w:spacing w:after="0"/>
            </w:pPr>
            <w:r>
              <w:rPr>
                <w:rFonts w:ascii="Calibri" w:hAnsi="Calibri"/>
                <w:b w:val="0"/>
                <w:i w:val="0"/>
                <w:color w:val="252A2C"/>
                <w:sz w:val="18"/>
              </w:rPr>
              <w:t>simuler avant décision</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Pour V01 à V04 : nommez les données touchées, le recalcul ou contrôle nécessaire, le décideur fonctionnel et la preuve de fermeture.</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p>
      <w:pPr>
        <w:pStyle w:val="Heading1"/>
        <w:pageBreakBefore/>
      </w:pPr>
      <w:r>
        <w:rPr>
          <w:rFonts w:ascii="Calibri" w:hAnsi="Calibri"/>
          <w:b/>
          <w:i w:val="0"/>
          <w:color w:val="24493D"/>
          <w:sz w:val="32"/>
        </w:rPr>
        <w:t>Ensemble 6 — Correction, achèvement et accessibilité</w:t>
      </w:r>
    </w:p>
    <w:p>
      <w:pPr>
        <w:jc w:val="center"/>
      </w:pPr>
      <w:r>
        <w:drawing>
          <wp:inline xmlns:a="http://schemas.openxmlformats.org/drawingml/2006/main" xmlns:pic="http://schemas.openxmlformats.org/drawingml/2006/picture">
            <wp:extent cx="5486400" cy="3291840"/>
            <wp:docPr id="6" name="Picture 6" descr="Trois blocs à rapprocher : calcul, chantier et preuve. Le passage de relais final RÉGIME porte régime, échéance, géographie, indicateurs, millésime et éléments de preuve." title="Illustration originale IEB"/>
            <wp:cNvGraphicFramePr>
              <a:graphicFrameLocks noChangeAspect="1"/>
            </wp:cNvGraphicFramePr>
            <a:graphic>
              <a:graphicData uri="http://schemas.openxmlformats.org/drawingml/2006/picture">
                <pic:pic>
                  <pic:nvPicPr>
                    <pic:cNvPr id="0" name="ieb-asset-c02-000004__calcul-chantier-preuve__v0.1.0.png"/>
                    <pic:cNvPicPr/>
                  </pic:nvPicPr>
                  <pic:blipFill>
                    <a:blip r:embed="rId16"/>
                    <a:stretch>
                      <a:fillRect/>
                    </a:stretch>
                  </pic:blipFill>
                  <pic:spPr>
                    <a:xfrm>
                      <a:off x="0" y="0"/>
                      <a:ext cx="5486400" cy="3291840"/>
                    </a:xfrm>
                    <a:prstGeom prst="rect"/>
                  </pic:spPr>
                </pic:pic>
              </a:graphicData>
            </a:graphic>
          </wp:inline>
        </w:drawing>
      </w:r>
    </w:p>
    <w:p>
      <w:pPr>
        <w:spacing w:after="160"/>
        <w:jc w:val="center"/>
      </w:pPr>
      <w:r>
        <w:rPr>
          <w:rFonts w:ascii="Calibri" w:hAnsi="Calibri"/>
          <w:b w:val="0"/>
          <w:i/>
          <w:color w:val="59646A"/>
          <w:sz w:val="17"/>
        </w:rPr>
        <w:t>Trois blocs à rapprocher : calcul, chantier et preuve. Le passage de relais final RÉGIME porte régime, échéance, géographie, indicateurs, millésime et éléments de preuve.</w:t>
      </w:r>
    </w:p>
    <w:tbl>
      <w:tblPr>
        <w:tblStyle w:val="TableGrid"/>
        <w:jc w:val="center"/>
        <w:tblLook w:firstColumn="1" w:firstRow="1" w:lastColumn="0" w:lastRow="0" w:noHBand="0" w:noVBand="1" w:val="04A0"/>
        <w:tblW w:w="9360" w:type="dxa"/>
        <w:tblInd w:w="120" w:type="dxa"/>
        <w:tblLayout w:type="fixed"/>
      </w:tblPr>
      <w:tblGrid>
        <w:gridCol w:w="2229"/>
        <w:gridCol w:w="2786"/>
        <w:gridCol w:w="4345"/>
      </w:tblGrid>
      <w:tr>
        <w:trPr>
          <w:tblHeader w:val="true"/>
          <w:cantSplit w:val="true"/>
        </w:trPr>
        <w:tc>
          <w:tcPr>
            <w:tcW w:type="dxa" w:w="2229"/>
            <w:shd w:fill="24493D"/>
            <w:tcMar>
              <w:top w:w="80" w:type="dxa"/>
              <w:start w:w="120" w:type="dxa"/>
              <w:bottom w:w="80" w:type="dxa"/>
              <w:end w:w="120" w:type="dxa"/>
            </w:tcMar>
            <w:vAlign w:val="center"/>
          </w:tcPr>
          <w:p>
            <w:pPr>
              <w:spacing w:after="0"/>
            </w:pPr>
            <w:r>
              <w:rPr>
                <w:rFonts w:ascii="Calibri" w:hAnsi="Calibri"/>
                <w:b/>
                <w:i w:val="0"/>
                <w:color w:val="FFFFFF"/>
                <w:sz w:val="18"/>
              </w:rPr>
              <w:t>Pièce</w:t>
            </w:r>
          </w:p>
        </w:tc>
        <w:tc>
          <w:tcPr>
            <w:tcW w:type="dxa" w:w="2786"/>
            <w:shd w:fill="24493D"/>
            <w:tcMar>
              <w:top w:w="80" w:type="dxa"/>
              <w:start w:w="120" w:type="dxa"/>
              <w:bottom w:w="80" w:type="dxa"/>
              <w:end w:w="120" w:type="dxa"/>
            </w:tcMar>
            <w:vAlign w:val="center"/>
          </w:tcPr>
          <w:p>
            <w:pPr>
              <w:spacing w:after="0"/>
            </w:pPr>
            <w:r>
              <w:rPr>
                <w:rFonts w:ascii="Calibri" w:hAnsi="Calibri"/>
                <w:b/>
                <w:i w:val="0"/>
                <w:color w:val="FFFFFF"/>
                <w:sz w:val="18"/>
              </w:rPr>
              <w:t>État fictif</w:t>
            </w:r>
          </w:p>
        </w:tc>
        <w:tc>
          <w:tcPr>
            <w:tcW w:type="dxa" w:w="4345"/>
            <w:shd w:fill="24493D"/>
            <w:tcMar>
              <w:top w:w="80" w:type="dxa"/>
              <w:start w:w="120" w:type="dxa"/>
              <w:bottom w:w="80" w:type="dxa"/>
              <w:end w:w="120" w:type="dxa"/>
            </w:tcMar>
            <w:vAlign w:val="center"/>
          </w:tcPr>
          <w:p>
            <w:pPr>
              <w:spacing w:after="0"/>
            </w:pPr>
            <w:r>
              <w:rPr>
                <w:rFonts w:ascii="Calibri" w:hAnsi="Calibri"/>
                <w:b/>
                <w:i w:val="0"/>
                <w:color w:val="FFFFFF"/>
                <w:sz w:val="18"/>
              </w:rPr>
              <w:t>Question de rapprochement</w:t>
            </w:r>
          </w:p>
        </w:tc>
      </w:tr>
      <w:tr>
        <w:trPr>
          <w:cantSplit w:val="true"/>
        </w:trPr>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RSEE indice C</w:t>
            </w:r>
          </w:p>
        </w:tc>
        <w:tc>
          <w:tcPr>
            <w:tcW w:type="dxa" w:w="2786"/>
            <w:tcMar>
              <w:top w:w="80" w:type="dxa"/>
              <w:start w:w="120" w:type="dxa"/>
              <w:bottom w:w="80" w:type="dxa"/>
              <w:end w:w="120" w:type="dxa"/>
            </w:tcMar>
            <w:vAlign w:val="center"/>
          </w:tcPr>
          <w:p>
            <w:pPr>
              <w:spacing w:after="0"/>
            </w:pPr>
            <w:r>
              <w:rPr>
                <w:rFonts w:ascii="Calibri" w:hAnsi="Calibri"/>
                <w:b w:val="0"/>
                <w:i w:val="0"/>
                <w:color w:val="252A2C"/>
                <w:sz w:val="18"/>
              </w:rPr>
              <w:t>béton et protections absents</w:t>
            </w:r>
          </w:p>
        </w:tc>
        <w:tc>
          <w:tcPr>
            <w:tcW w:type="dxa" w:w="4345"/>
            <w:tcMar>
              <w:top w:w="80" w:type="dxa"/>
              <w:start w:w="120" w:type="dxa"/>
              <w:bottom w:w="80" w:type="dxa"/>
              <w:end w:w="120" w:type="dxa"/>
            </w:tcMar>
            <w:vAlign w:val="center"/>
          </w:tcPr>
          <w:p>
            <w:pPr>
              <w:spacing w:after="0"/>
            </w:pPr>
            <w:r>
              <w:rPr>
                <w:rFonts w:ascii="Calibri" w:hAnsi="Calibri"/>
                <w:b w:val="0"/>
                <w:i w:val="0"/>
                <w:color w:val="252A2C"/>
                <w:sz w:val="18"/>
              </w:rPr>
              <w:t>décrit-il l'état exécuté ?</w:t>
            </w:r>
          </w:p>
        </w:tc>
      </w:tr>
      <w:tr>
        <w:trPr>
          <w:cantSplit w:val="true"/>
        </w:trPr>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plans DOE-1</w:t>
            </w:r>
          </w:p>
        </w:tc>
        <w:tc>
          <w:tcPr>
            <w:tcW w:type="dxa" w:w="2786"/>
            <w:tcMar>
              <w:top w:w="80" w:type="dxa"/>
              <w:start w:w="120" w:type="dxa"/>
              <w:bottom w:w="80" w:type="dxa"/>
              <w:end w:w="120" w:type="dxa"/>
            </w:tcMar>
            <w:vAlign w:val="center"/>
          </w:tcPr>
          <w:p>
            <w:pPr>
              <w:spacing w:after="0"/>
            </w:pPr>
            <w:r>
              <w:rPr>
                <w:rFonts w:ascii="Calibri" w:hAnsi="Calibri"/>
                <w:b w:val="0"/>
                <w:i w:val="0"/>
                <w:color w:val="252A2C"/>
                <w:sz w:val="18"/>
              </w:rPr>
              <w:t>quatre variantes mentionnées</w:t>
            </w:r>
          </w:p>
        </w:tc>
        <w:tc>
          <w:tcPr>
            <w:tcW w:type="dxa" w:w="4345"/>
            <w:tcMar>
              <w:top w:w="80" w:type="dxa"/>
              <w:start w:w="120" w:type="dxa"/>
              <w:bottom w:w="80" w:type="dxa"/>
              <w:end w:w="120" w:type="dxa"/>
            </w:tcMar>
            <w:vAlign w:val="center"/>
          </w:tcPr>
          <w:p>
            <w:pPr>
              <w:spacing w:after="0"/>
            </w:pPr>
            <w:r>
              <w:rPr>
                <w:rFonts w:ascii="Calibri" w:hAnsi="Calibri"/>
                <w:b w:val="0"/>
                <w:i w:val="0"/>
                <w:color w:val="252A2C"/>
                <w:sz w:val="18"/>
              </w:rPr>
              <w:t>les quantités et systèmes sont-ils cohérents ?</w:t>
            </w:r>
          </w:p>
        </w:tc>
      </w:tr>
      <w:tr>
        <w:trPr>
          <w:cantSplit w:val="true"/>
        </w:trPr>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contrôles logement</w:t>
            </w:r>
          </w:p>
        </w:tc>
        <w:tc>
          <w:tcPr>
            <w:tcW w:type="dxa" w:w="2786"/>
            <w:tcMar>
              <w:top w:w="80" w:type="dxa"/>
              <w:start w:w="120" w:type="dxa"/>
              <w:bottom w:w="80" w:type="dxa"/>
              <w:end w:w="120" w:type="dxa"/>
            </w:tcMar>
            <w:vAlign w:val="center"/>
          </w:tcPr>
          <w:p>
            <w:pPr>
              <w:spacing w:after="0"/>
            </w:pPr>
            <w:r>
              <w:rPr>
                <w:rFonts w:ascii="Calibri" w:hAnsi="Calibri"/>
                <w:b w:val="0"/>
                <w:i w:val="0"/>
                <w:color w:val="252A2C"/>
                <w:sz w:val="18"/>
              </w:rPr>
              <w:t>perméabilité et ventilation à joindre</w:t>
            </w:r>
          </w:p>
        </w:tc>
        <w:tc>
          <w:tcPr>
            <w:tcW w:type="dxa" w:w="4345"/>
            <w:tcMar>
              <w:top w:w="80" w:type="dxa"/>
              <w:start w:w="120" w:type="dxa"/>
              <w:bottom w:w="80" w:type="dxa"/>
              <w:end w:w="120" w:type="dxa"/>
            </w:tcMar>
            <w:vAlign w:val="center"/>
          </w:tcPr>
          <w:p>
            <w:pPr>
              <w:spacing w:after="0"/>
            </w:pPr>
            <w:r>
              <w:rPr>
                <w:rFonts w:ascii="Calibri" w:hAnsi="Calibri"/>
                <w:b w:val="0"/>
                <w:i w:val="0"/>
                <w:color w:val="252A2C"/>
                <w:sz w:val="18"/>
              </w:rPr>
              <w:t>les résultats requis sont-ils disponibles ?</w:t>
            </w:r>
          </w:p>
        </w:tc>
      </w:tr>
      <w:tr>
        <w:trPr>
          <w:cantSplit w:val="true"/>
        </w:trPr>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DPE fictif A</w:t>
            </w:r>
          </w:p>
        </w:tc>
        <w:tc>
          <w:tcPr>
            <w:tcW w:type="dxa" w:w="2786"/>
            <w:tcMar>
              <w:top w:w="80" w:type="dxa"/>
              <w:start w:w="120" w:type="dxa"/>
              <w:bottom w:w="80" w:type="dxa"/>
              <w:end w:w="120" w:type="dxa"/>
            </w:tcMar>
            <w:vAlign w:val="center"/>
          </w:tcPr>
          <w:p>
            <w:pPr>
              <w:spacing w:after="0"/>
            </w:pPr>
            <w:r>
              <w:rPr>
                <w:rFonts w:ascii="Calibri" w:hAnsi="Calibri"/>
                <w:b w:val="0"/>
                <w:i w:val="0"/>
                <w:color w:val="252A2C"/>
                <w:sz w:val="18"/>
              </w:rPr>
              <w:t>utilisé comme preuve globale</w:t>
            </w:r>
          </w:p>
        </w:tc>
        <w:tc>
          <w:tcPr>
            <w:tcW w:type="dxa" w:w="4345"/>
            <w:tcMar>
              <w:top w:w="80" w:type="dxa"/>
              <w:start w:w="120" w:type="dxa"/>
              <w:bottom w:w="80" w:type="dxa"/>
              <w:end w:w="120" w:type="dxa"/>
            </w:tcMar>
            <w:vAlign w:val="center"/>
          </w:tcPr>
          <w:p>
            <w:pPr>
              <w:spacing w:after="0"/>
            </w:pPr>
            <w:r>
              <w:rPr>
                <w:rFonts w:ascii="Calibri" w:hAnsi="Calibri"/>
                <w:b w:val="0"/>
                <w:i w:val="0"/>
                <w:color w:val="252A2C"/>
                <w:sz w:val="18"/>
              </w:rPr>
              <w:t>quelle fonction démontre-t-il réellement ?</w:t>
            </w:r>
          </w:p>
        </w:tc>
      </w:tr>
      <w:tr>
        <w:trPr>
          <w:cantSplit w:val="true"/>
        </w:trPr>
        <w:tc>
          <w:tcPr>
            <w:tcW w:type="dxa" w:w="2229"/>
            <w:tcMar>
              <w:top w:w="80" w:type="dxa"/>
              <w:start w:w="120" w:type="dxa"/>
              <w:bottom w:w="80" w:type="dxa"/>
              <w:end w:w="120" w:type="dxa"/>
            </w:tcMar>
            <w:vAlign w:val="center"/>
          </w:tcPr>
          <w:p>
            <w:pPr>
              <w:spacing w:after="0"/>
            </w:pPr>
            <w:r>
              <w:rPr>
                <w:rFonts w:ascii="Calibri" w:hAnsi="Calibri"/>
                <w:b w:val="0"/>
                <w:i w:val="0"/>
                <w:color w:val="252A2C"/>
                <w:sz w:val="18"/>
              </w:rPr>
              <w:t>aile existante</w:t>
            </w:r>
          </w:p>
        </w:tc>
        <w:tc>
          <w:tcPr>
            <w:tcW w:type="dxa" w:w="2786"/>
            <w:tcMar>
              <w:top w:w="80" w:type="dxa"/>
              <w:start w:w="120" w:type="dxa"/>
              <w:bottom w:w="80" w:type="dxa"/>
              <w:end w:w="120" w:type="dxa"/>
            </w:tcMar>
            <w:vAlign w:val="center"/>
          </w:tcPr>
          <w:p>
            <w:pPr>
              <w:spacing w:after="0"/>
            </w:pPr>
            <w:r>
              <w:rPr>
                <w:rFonts w:ascii="Calibri" w:hAnsi="Calibri"/>
                <w:b w:val="0"/>
                <w:i w:val="0"/>
                <w:color w:val="252A2C"/>
                <w:sz w:val="18"/>
              </w:rPr>
              <w:t>factures et fiches travaux incomplètes</w:t>
            </w:r>
          </w:p>
        </w:tc>
        <w:tc>
          <w:tcPr>
            <w:tcW w:type="dxa" w:w="4345"/>
            <w:tcMar>
              <w:top w:w="80" w:type="dxa"/>
              <w:start w:w="120" w:type="dxa"/>
              <w:bottom w:w="80" w:type="dxa"/>
              <w:end w:w="120" w:type="dxa"/>
            </w:tcMar>
            <w:vAlign w:val="center"/>
          </w:tcPr>
          <w:p>
            <w:pPr>
              <w:spacing w:after="0"/>
            </w:pPr>
            <w:r>
              <w:rPr>
                <w:rFonts w:ascii="Calibri" w:hAnsi="Calibri"/>
                <w:b w:val="0"/>
                <w:i w:val="0"/>
                <w:color w:val="252A2C"/>
                <w:sz w:val="18"/>
              </w:rPr>
              <w:t>quelles preuves de RT existant conserver ?</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AFAF8"/>
            <w:tcMar>
              <w:top w:w="120" w:type="dxa"/>
              <w:start w:w="160" w:type="dxa"/>
              <w:bottom w:w="120" w:type="dxa"/>
              <w:end w:w="160" w:type="dxa"/>
            </w:tcMar>
          </w:tcPr>
          <w:p>
            <w:r>
              <w:rPr>
                <w:rFonts w:ascii="Calibri" w:hAnsi="Calibri"/>
                <w:b/>
                <w:i w:val="0"/>
                <w:color w:val="24493D"/>
                <w:sz w:val="19"/>
              </w:rPr>
              <w:t>Rédigez la note RÉGIME finale, puis réécrivez la phrase « le DPE A prouve que tout Belvédère est conforme RE2020 » en 90 à 130 mots.</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Accessibilité — </w:t>
            </w:r>
            <w:r>
              <w:rPr>
                <w:rFonts w:ascii="Calibri" w:hAnsi="Calibri"/>
                <w:b w:val="0"/>
                <w:i w:val="0"/>
                <w:color w:val="252A2C"/>
                <w:sz w:val="21"/>
              </w:rPr>
              <w:t>Les quatre schémas possèdent une alternative textuelle. Le statut, la famille d'indicateur et le niveau de preuve sont toujours exprimés par des mots et non par la seule couleur.</w:t>
            </w:r>
          </w:p>
        </w:tc>
      </w:tr>
    </w:tbl>
    <w:p>
      <w:pPr>
        <w:spacing w:after="20"/>
      </w:pP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C-02  |  Réglementations thermiques et RE 2020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 Cahier d'activités</dc:title>
  <dc:subject>Réglementations thermiques et RE 2020</dc:subject>
  <dc:creator>Institut de l'Expertise en Bâtiment</dc:creator>
  <cp:keywords>RE2020, thermique, énergie, carbone, ACV, Belvédère</cp:keywords>
  <dc:description>Ressource C-02 - opération Belvédère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