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/>
      </w:pPr>
      <w:r>
        <w:rPr>
          <w:rFonts w:ascii="Calibri" w:hAnsi="Calibri"/>
          <w:b/>
          <w:i w:val="0"/>
          <w:color w:val="C66B32"/>
          <w:sz w:val="18"/>
        </w:rPr>
        <w:t>N-01  |  PARCOURS NÉOEXPERT©</w:t>
      </w:r>
    </w:p>
    <w:p>
      <w:pPr>
        <w:pStyle w:val="Title"/>
      </w:pPr>
      <w:r>
        <w:rPr>
          <w:rFonts w:ascii="Calibri" w:hAnsi="Calibri"/>
          <w:b/>
          <w:i w:val="0"/>
          <w:color w:val="24493D"/>
          <w:sz w:val="52"/>
        </w:rPr>
        <w:t>CAHIER D'ACTIVITÉS — BLOC B2</w:t>
      </w:r>
    </w:p>
    <w:p>
      <w:r>
        <w:rPr>
          <w:rFonts w:ascii="Calibri" w:hAnsi="Calibri"/>
          <w:b/>
          <w:i w:val="0"/>
          <w:color w:val="315F78"/>
          <w:sz w:val="26"/>
        </w:rPr>
        <w:t>Dossier Traverse : cadrer sans trancher le droit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Format — </w:t>
      </w:r>
      <w:r>
        <w:rPr>
          <w:rFonts w:ascii="Calibri" w:hAnsi="Calibri"/>
          <w:b w:val="0"/>
          <w:i w:val="0"/>
          <w:color w:val="252A2C"/>
          <w:sz w:val="21"/>
        </w:rPr>
        <w:t>8 productions | 8 contrôles de connaissances | réponses sur données fictives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Dossier pédagogique — </w:t>
      </w:r>
      <w:r>
        <w:rPr>
          <w:rFonts w:ascii="Calibri" w:hAnsi="Calibri"/>
          <w:b w:val="0"/>
          <w:i w:val="0"/>
          <w:color w:val="252A2C"/>
          <w:sz w:val="21"/>
        </w:rPr>
        <w:t>Traverse est entièrement fictif : aucun bâtiment, personne, adresse, entreprise, contrat ou fait réel.</w:t>
      </w:r>
    </w:p>
    <w:p>
      <w:r>
        <w:rPr>
          <w:rFonts w:ascii="Calibri" w:hAnsi="Calibri"/>
          <w:b w:val="0"/>
          <w:i/>
          <w:color w:val="252A2C"/>
          <w:sz w:val="22"/>
        </w:rPr>
        <w:t>Les documents guident l'activité obligatoire déjà comptée dans les 1 680 minutes du bloc B2 ; ils n'ajoutent aucune durée.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Règle — </w:t>
      </w:r>
      <w:r>
        <w:rPr>
          <w:rFonts w:ascii="Calibri" w:hAnsi="Calibri"/>
          <w:b w:val="0"/>
          <w:i w:val="0"/>
          <w:color w:val="252A2C"/>
          <w:sz w:val="21"/>
        </w:rPr>
        <w:t>Travaillez uniquement avec les pièces fictives fournies. N'ajoutez ni identité, adresse, contrat, attestation, expertise ou fait réel.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Index des pièces B2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944"/>
        <w:gridCol w:w="2952"/>
        <w:gridCol w:w="2448"/>
        <w:gridCol w:w="2016"/>
      </w:tblGrid>
      <w:tr>
        <w:trPr>
          <w:tblHeader w:val="true"/>
          <w:cantSplit w:val="true"/>
        </w:trPr>
        <w:tc>
          <w:tcPr>
            <w:tcW w:type="dxa" w:w="194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29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Pièce</w:t>
            </w:r>
          </w:p>
        </w:tc>
        <w:tc>
          <w:tcPr>
            <w:tcW w:type="dxa" w:w="244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Type</w:t>
            </w:r>
          </w:p>
        </w:tc>
        <w:tc>
          <w:tcPr>
            <w:tcW w:type="dxa" w:w="201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Unités B2</w:t>
            </w:r>
          </w:p>
        </w:tc>
      </w:tr>
      <w:tr>
        <w:trPr>
          <w:cantSplit w:val="true"/>
        </w:trPr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IEB-N01-TRV-P007</w:t>
            </w:r>
          </w:p>
        </w:tc>
        <w:tc>
          <w:tcPr>
            <w:tcW w:type="dxa" w:w="29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Projet de lettre de mission fictive</w:t>
            </w:r>
          </w:p>
        </w:tc>
        <w:tc>
          <w:tcPr>
            <w:tcW w:type="dxa" w:w="24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synthetic_mission_letter</w:t>
            </w:r>
          </w:p>
        </w:tc>
        <w:tc>
          <w:tcPr>
            <w:tcW w:type="dxa" w:w="20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U15, U19, U22</w:t>
            </w:r>
          </w:p>
        </w:tc>
      </w:tr>
      <w:tr>
        <w:trPr>
          <w:cantSplit w:val="true"/>
        </w:trPr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IEB-N01-TRV-P008</w:t>
            </w:r>
          </w:p>
        </w:tc>
        <w:tc>
          <w:tcPr>
            <w:tcW w:type="dxa" w:w="29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Résumé contractuel fictif</w:t>
            </w:r>
          </w:p>
        </w:tc>
        <w:tc>
          <w:tcPr>
            <w:tcW w:type="dxa" w:w="24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synthetic_contract_summary</w:t>
            </w:r>
          </w:p>
        </w:tc>
        <w:tc>
          <w:tcPr>
            <w:tcW w:type="dxa" w:w="20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U16, U21</w:t>
            </w:r>
          </w:p>
        </w:tc>
      </w:tr>
      <w:tr>
        <w:trPr>
          <w:cantSplit w:val="true"/>
        </w:trPr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IEB-N01-TRV-P009</w:t>
            </w:r>
          </w:p>
        </w:tc>
        <w:tc>
          <w:tcPr>
            <w:tcW w:type="dxa" w:w="29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Attestation d'assurance fictive incomplète</w:t>
            </w:r>
          </w:p>
        </w:tc>
        <w:tc>
          <w:tcPr>
            <w:tcW w:type="dxa" w:w="24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synthetic_insurance_record</w:t>
            </w:r>
          </w:p>
        </w:tc>
        <w:tc>
          <w:tcPr>
            <w:tcW w:type="dxa" w:w="20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U17, U21</w:t>
            </w:r>
          </w:p>
        </w:tc>
      </w:tr>
      <w:tr>
        <w:trPr>
          <w:cantSplit w:val="true"/>
        </w:trPr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IEB-N01-TRV-P010</w:t>
            </w:r>
          </w:p>
        </w:tc>
        <w:tc>
          <w:tcPr>
            <w:tcW w:type="dxa" w:w="29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Positions contradictoires fictives</w:t>
            </w:r>
          </w:p>
        </w:tc>
        <w:tc>
          <w:tcPr>
            <w:tcW w:type="dxa" w:w="24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synthetic_contradictory_positions</w:t>
            </w:r>
          </w:p>
        </w:tc>
        <w:tc>
          <w:tcPr>
            <w:tcW w:type="dxa" w:w="20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U18, U21, U22</w:t>
            </w:r>
          </w:p>
        </w:tc>
      </w:tr>
      <w:tr>
        <w:trPr>
          <w:cantSplit w:val="true"/>
        </w:trPr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IEB-N01-TRV-P011</w:t>
            </w:r>
          </w:p>
        </w:tc>
        <w:tc>
          <w:tcPr>
            <w:tcW w:type="dxa" w:w="29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Journal objections-réponses</w:t>
            </w:r>
          </w:p>
        </w:tc>
        <w:tc>
          <w:tcPr>
            <w:tcW w:type="dxa" w:w="24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synthetic_contradiction_log</w:t>
            </w:r>
          </w:p>
        </w:tc>
        <w:tc>
          <w:tcPr>
            <w:tcW w:type="dxa" w:w="20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U19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IEB-N01-U15 — Qualifier la mission et les responsabilités sans trancher le droit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Lire TRV-P007 et construire une carte fait-question-qualification à confirmer-limite-relais.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extraire les questions de fait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identifier les qualifications évoquées sans les retenir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relier chaque allégation à une pièce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nommer les zones d'incertitude juridique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borner la contribution technique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préparer le relais vers conseil, assureur ou juge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Quelle formulation respecte le périmètre d'une contribution technique ?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Option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Proposition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La responsabilité est acquise.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Les faits observables sont décrits et les qualifications juridiques sont renvoyées à l'autorité compétente.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Le contrat suffit à désigner le responsable.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La garantie doit être confirmée par l'expert technique.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carte questions de fait-qualifications-limites-relais. Les critères contrôlés sont : N01-CRIT-SCOPE, N01-CRIT-REASON, N01-CRIT-SOURCE.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Même exercice dans une grille textuelle accessible.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Employer une notion juridique dans une note technique exige d'en signaler la portée provisoire et l'autorité de décision.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IEB-N01-U16 — Contrat, faute, dommage et preuve : construire une carte prudente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À partir de TRV-P008, construire deux scénarios selon la date contestée et la version manquante de l'avenant.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identifier le document contractuel et sa version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résumer l'obligation alléguée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décrire le fait testable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qualifier le dommage allégué sans l'admettre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relier les preuves et leurs limites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formuler la question juridique réservée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Que démontre la présence simultanée d'un contrat et d'un dommage allégué ?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Option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Proposition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Une faute certaine.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L'imputabilité au cocontractant.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Seulement la nécessité de relier obligation, fait, dommage et preuves avant qualification.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L'application automatique d'un régime de responsabilité.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matrice de qualification provisoire et besoins de preuve. Les critères contrôlés sont : N01-CRIT-TRACE, N01-CRIT-SCOPE, N01-CRIT-REASON.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Matrice au format tableur accessible avec consignes identiques.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La présence d'un dommage et d'un contrat ne démontre ni faute, ni imputabilité, ni régime de responsabilité.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IEB-N01-U17 — Garanties et assurances construction : identifier ce qui doit être vérifié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Auditer TRV-P009 et produire une fiche qui conclut uniquement sur les vérifications possibles et impossibles.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identifier l'acteur et sa qualité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dater activité, ouverture et dommage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vérifier l'activité déclarée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recenser contrat, limites et exclusions disponibles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signaler les pièces manquantes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transmettre les questions de garantie à la personne habilitée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Que permet de conclure une attestation d'assurance incomplète ?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Option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Proposition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 tout dommage est garanti.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 la garantie décennale est acquise.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Uniquement quelles informations sont présentes et quelles vérifications restent impossibles.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 les exclusions sont inopposables.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fiche acteurs-dates-travaux-dommages-contrats-pièces manquantes. Les critères contrôlés sont : N01-CRIT-TRACE, N01-CRIT-SCOPE, N01-CRIT-SOURCE.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Pièces synthétiques en texte balisé et tableau de vérification accessible.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Aucune couverture ne peut être déduite du seul intitulé d'une attestation ou d'un principe légal.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IEB-N01-U18 — Contradiction, litige et voies amiables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Cartographier TRV-P010, puis proposer deux objets limités de discussion amiable compatibles avec la préservation de la preuve.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attribuer chaque position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séparer accord, désaccord et absence de réponse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relier les preuves invoquées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décrire les intérêts et décisions recherchées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présenter les familles de voies sans prescrire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identifier les conditions de poursuite ou de relais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Comment représenter loyalement des positions contradictoires ?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Option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Proposition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 leur attribuant le même niveau de preuve.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 attribuant chaque position, ses pièces et son statut documenté ou non documenté.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 supprimant les désaccords non résolus.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 choisissant l'option amiable à la place des parties.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carte des positions et options de traitement. Les critères contrôlés sont : N01-CRIT-COMM, N01-CRIT-SCOPE, N01-CRIT-TRACE.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Débat remplacé si nécessaire par contributions écrites contradictoires et temps équivalent.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Neutralité ne signifie pas mettre au même niveau une affirmation documentée et une affirmation sans preuve ; leur statut doit être visible.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IEB-N01-U19 — Conduire une mission technique ordonnée par le juge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Transformer TRV-P007 en feuille de route judiciaire synthétique avec points, opérations, preuves, contradiction et limites.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reproduire fidèlement les points de mission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identifier les questions de fait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planifier convocations et opérations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organiser observations et réclamations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fixer jalons et besoins de délai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borner l'avis technique et les concours spécialisés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Quelle règle borne une mission technique ordonnée par le juge ?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Option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Proposition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Le technicien peut compléter la mission sans le signaler.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Le technicien répond personnellement aux questions de fait confiées et signale les limites ou besoins de concours.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Le technicien tranche les qualifications juridiques utiles.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Le technicien choisit les demandes des parties à écarter sans les tracer.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feuille de route questions-opérations-contradiction-délais-limites. Les critères contrôlés sont : N01-CRIT-SCOPE, N01-CRIT-ACTION, N01-CRIT-SOURCE.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Ordonnance synthétique balisée et feuille de route dans un gabarit accessible.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Le technicien ne complète pas silencieusement la mission et ne porte pas d'appréciation juridique.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IEB-N01-U20 — Indépendance, inscription et limites du statut d'expert judiciaire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Rédiger une note expliquant ce que l'attestation de réussite IEB établit et ce qu'elle n'établit pas.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distinguer formation, expérience et qualification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identifier les conditions générales officielles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repérer indépendance et incompatibilités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consulter la campagne et les documents à jour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présenter la décision comme externe au parcours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rédiger sans promesse de statut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Que prouve l'attestation de réussite du parcours NéoExpert© ?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Option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Proposition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Une inscription automatique sur une liste d'experts judiciaires.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Le droit d'utiliser un titre réservé.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La réussite aux exigences pédagogiques IEB, distincte de la procédure officielle de candidature.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Une certification professionnelle enregistrée.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note de limites et parcours officiel de candidature. Les critères contrôlés sont : N01-CRIT-SOURCE, N01-CRIT-SCOPE, N01-CRIT-COMM.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Documents officiels en formats accessibles ou transcriptions autorisées, sans reproduction de source protégée.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Toute communication doit éviter certification professionnelle, inscription automatique ou titre réservé sans preuve correspondante.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IEB-N01-U21 — Laboratoire de cadrage juridique et assurantiel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Analyser TRV-P007 à TRV-P011 et produire la note faits-questions-garanties-pièces-relais.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résumer la mission et les faits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dresser la chronologie juridique utile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relier acteurs, contrats et assurances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classer les pièces manquantes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séparer analyse technique et questions réservées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proposer les prochaines vérifications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Qu'est-ce qui rend une note de cadrage juridiquement prudente sans la rendre vague ?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Option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Proposition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Éviter toute référence aux questions juridiques.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Nommer précisément les faits, pièces, questions à qualifier, limites et relais.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Retenir la garantie la plus probable.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Remplacer les pièces manquantes par des hypothèses affirmatives.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note faits-questions-garanties-pièces-relais. Les critères contrôlés sont : N01-CRIT-TRACE, N01-CRIT-SCOPE, N01-CRIT-REASON.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Cas textuel, pièces synthétiques balisées et temps de production identique.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Une note bornée n'est pas une note vague : elle nomme précisément les éléments à qualifier et les raisons.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IEB-N01-U22 — Production de bloc B2 — note de cadrage de mission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Présenter la note Traverse B2, répondre aux objections puis remettre une version révisée.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vérifier l'attribution des positions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contrôler dates et versions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séparer fait, hypothèse et qualification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traiter chaque objection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rendre visibles les pièces manquantes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réviser la note avec la rubrique B2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Quel comportement est attendu pendant la soutenance contradictoire B2 ?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Option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Proposition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Maintenir toutes les formulations initiales.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Répondre aux personnes plutôt qu'aux objections.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Tracer les objections et retirer ou réviser toute formulation dépourvue de preuve suffisante.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Confirmer une responsabilité pour clore la discussion.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note de cadrage de mission, limites et options de traitement. Les critères contrôlés sont : N01-CRIT-BLOCK, N01-CRIT-SCOPE, N01-CRIT-COMM.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Soutenance en direct, audio asynchrone ou note contradictoire écrite, avec même rubrique et charge utile.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Une soutenance réussie accepte de retirer une formulation excessive lorsqu'aucune preuve ne la soutient.</w:t>
      </w:r>
    </w:p>
    <w:sectPr w:rsidR="00FC693F" w:rsidRPr="0006063C" w:rsidSect="00034616">
      <w:headerReference w:type="default" r:id="rId9"/>
      <w:footerReference w:type="default" r:id="rId10"/>
      <w:headerReference w:type="even" r:id="rId11"/>
      <w:footerReference w:type="even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N-01  |  Devenir expert en bâtiment — parcours NéoExpert©  |  0.1.0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N-01  |  Devenir expert en bâtiment — parcours NéoExpert©  |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52A2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4493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C66B3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24493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4493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N-01 - Cahier d'activités - bloc B2</dc:title>
  <dc:subject>Devenir expert en bâtiment — parcours NéoExpert©</dc:subject>
  <dc:creator>Institut de l'Expertise en Bâtiment</dc:creator>
  <cp:keywords>NéoExpert, droit, assurances, contradiction, Dossier Traverse</cp:keywords>
  <dc:description>Bloc B2 - Dossier Traverse entièrement synthétique</dc:description>
  <cp:lastModifiedBy>Institut de l'Expertise en Bâtiment</cp:lastModifiedBy>
  <cp:revision>1</cp:revision>
  <dcterms:created xsi:type="dcterms:W3CDTF">2013-12-23T23:15:00Z</dcterms:created>
  <dcterms:modified xsi:type="dcterms:W3CDTF">2013-12-23T23:15:00Z</dcterms:modified>
  <cp:category/>
</cp:coreProperties>
</file>