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  <w:pBdr>
          <w:bottom w:val="single" w:sz="22" w:space="8" w:color="B8663B"/>
        </w:pBdr>
      </w:pPr>
      <w:r>
        <w:rPr>
          <w:rFonts w:ascii="Calibri" w:hAnsi="Calibri"/>
          <w:b/>
          <w:color w:val="1D2A33"/>
          <w:sz w:val="56"/>
        </w:rPr>
        <w:t>IEB</w:t>
      </w:r>
      <w:r>
        <w:rPr>
          <w:rFonts w:ascii="Calibri" w:hAnsi="Calibri"/>
          <w:b/>
          <w:color w:val="4E5F69"/>
          <w:sz w:val="17"/>
        </w:rPr>
        <w:t xml:space="preserve">   INSTITUT DE L’EXPERTISE EN BÂTIMENT</w:t>
      </w:r>
    </w:p>
    <w:p>
      <w:pPr>
        <w:keepNext w:val="0"/>
        <w:spacing w:before="0" w:after="44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B8663B"/>
          <w:sz w:val="19"/>
        </w:rPr>
        <w:t>P-02  /  CAHIER D’ACTIVITÉS</w:t>
      </w:r>
    </w:p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/>
          <w:i w:val="0"/>
          <w:color w:val="1D2A33"/>
          <w:sz w:val="54"/>
        </w:rPr>
        <w:t>P-02 — Observer, classer, documenter, orienter</w:t>
      </w:r>
    </w:p>
    <w:p>
      <w:pPr>
        <w:keepNext w:val="0"/>
        <w:spacing w:before="0" w:after="360" w:line="300" w:lineRule="auto"/>
        <w:jc w:val="left"/>
      </w:pPr>
      <w:r>
        <w:rPr>
          <w:rFonts w:ascii="Calibri" w:hAnsi="Calibri"/>
          <w:b w:val="0"/>
          <w:i w:val="0"/>
          <w:color w:val="4E5F69"/>
          <w:sz w:val="26"/>
        </w:rPr>
        <w:t>Fiches de production pour la journée présentielle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400"/>
        <w:gridCol w:w="7692"/>
      </w:tblGrid>
      <w:tr>
        <w:trPr>
          <w:tblHeader w:val="true"/>
        </w:trP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D2A33"/>
                <w:sz w:val="19"/>
              </w:rPr>
              <w:t>Repère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D2A33"/>
                <w:sz w:val="19"/>
              </w:rPr>
              <w:t>Valeur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Cours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Pathologies structurelles, fondations et fissures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Version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0.3.1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Activités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A0 à A5 + évaluation + transfert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Données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Cas synthétique uniquement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Usage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Support pédagogique complet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Repère pédagogique — </w:t>
      </w:r>
      <w:r>
        <w:rPr>
          <w:rFonts w:ascii="Calibri" w:hAnsi="Calibri"/>
          <w:b w:val="0"/>
          <w:color w:val="1D2A33"/>
          <w:sz w:val="21"/>
        </w:rPr>
        <w:t>Ce support entraîne l’observation, la traçabilité et l’orientation sans produire de diagnostic à distance.</w:t>
      </w:r>
    </w:p>
    <w:p>
      <w:r>
        <w:br w:type="page"/>
      </w:r>
    </w:p>
    <w:p>
      <w:pPr>
        <w:pStyle w:val="Heading1"/>
      </w:pPr>
      <w:r>
        <w:t>Mode d’emploi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Utilisez ce cahier pour réaliser les activités du parcours, conserver vos observations et préparer une transmission structurée.</w:t>
      </w: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de parcours — </w:t>
      </w:r>
      <w:r>
        <w:rPr>
          <w:rFonts w:ascii="Calibri" w:hAnsi="Calibri"/>
          <w:b w:val="0"/>
          <w:color w:val="1D2A33"/>
          <w:sz w:val="21"/>
        </w:rPr>
        <w:t>Le parcours va du visible vers les informations manquantes, les hypothèses concurrentes et la transmission.</w:t>
      </w: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documenté — </w:t>
      </w:r>
      <w:r>
        <w:rPr>
          <w:rFonts w:ascii="Calibri" w:hAnsi="Calibri"/>
          <w:b w:val="0"/>
          <w:color w:val="1D2A33"/>
          <w:sz w:val="21"/>
        </w:rPr>
        <w:t>La forme, la localisation et l’évolution d’une fissure sont des indices descriptifs ; elles ne suffisent pas, à elles seules, à établir sa cause.</w:t>
      </w:r>
    </w:p>
    <w:p>
      <w:pPr>
        <w:spacing w:before="80" w:after="160" w:line="276" w:lineRule="auto"/>
        <w:ind w:left="160" w:right="160"/>
        <w:shd w:fill="F6EBDD"/>
        <w:pBdr>
          <w:left w:val="single" w:sz="18" w:space="6" w:color="75491F"/>
        </w:pBdr>
      </w:pPr>
      <w:r>
        <w:rPr>
          <w:rFonts w:ascii="Calibri" w:hAnsi="Calibri"/>
          <w:b/>
          <w:color w:val="75491F"/>
          <w:sz w:val="21"/>
        </w:rPr>
        <w:t xml:space="preserve">Cas synthétique — </w:t>
      </w:r>
      <w:r>
        <w:rPr>
          <w:rFonts w:ascii="Calibri" w:hAnsi="Calibri"/>
          <w:b w:val="0"/>
          <w:color w:val="1D2A33"/>
          <w:sz w:val="21"/>
        </w:rPr>
        <w:t>Aucun dossier réel, nom, adresse, mission, photographie ou donnée personnelle n’est utilisé.</w:t>
      </w:r>
    </w:p>
    <w:p>
      <w:pPr>
        <w:spacing w:before="80" w:after="160" w:line="276" w:lineRule="auto"/>
        <w:ind w:left="160" w:right="160"/>
        <w:shd w:fill="F8E7E5"/>
        <w:pBdr>
          <w:left w:val="single" w:sz="18" w:space="6" w:color="732F2F"/>
        </w:pBdr>
      </w:pPr>
      <w:r>
        <w:rPr>
          <w:rFonts w:ascii="Calibri" w:hAnsi="Calibri"/>
          <w:b/>
          <w:color w:val="732F2F"/>
          <w:sz w:val="21"/>
        </w:rPr>
        <w:t xml:space="preserve">Règle de confidentialité — </w:t>
      </w:r>
      <w:r>
        <w:rPr>
          <w:rFonts w:ascii="Calibri" w:hAnsi="Calibri"/>
          <w:b w:val="0"/>
          <w:color w:val="1D2A33"/>
          <w:sz w:val="21"/>
        </w:rPr>
        <w:t>N’inscrivez aucun nom, adresse, numéro de dossier, référence client, photographie ou fait provenant d’un cas réel.</w:t>
      </w:r>
    </w:p>
    <w:p>
      <w:pPr>
        <w:pStyle w:val="Heading1"/>
      </w:pPr>
      <w:r>
        <w:t>A0 — Positionnement initial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Répondez sans rechercher de source afin de repérer vos automatismes de raisonnement.</w:t>
      </w:r>
    </w:p>
    <w:p>
      <w:pPr>
        <w:pStyle w:val="Heading2"/>
      </w:pPr>
      <w:r>
        <w:t>A0.1 — Une fissure en escalier permet-elle, à elle seule, d’affirmer une cause ?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pStyle w:val="Heading2"/>
      </w:pPr>
      <w:r>
        <w:t>A0.2 — Une fissure sans mesure disponible peut-elle être tenue pour sans enjeu ?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pStyle w:val="Heading2"/>
      </w:pPr>
      <w:r>
        <w:t>A0.3 — Quelle différence faites-vous entre manifestation, indice, hypothèse et conclusion ?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pStyle w:val="Heading2"/>
      </w:pPr>
      <w:r>
        <w:t>A0.4 — Quelles informations faut-il consigner avant de demander un avis spécialisé ?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pStyle w:val="Heading2"/>
      </w:pPr>
      <w:r>
        <w:t>A0.5 — Dans votre rôle actuel, quelle décision pouvez-vous prendre et quelle décision devez-vous transmettre ?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r>
        <w:br w:type="page"/>
      </w:r>
    </w:p>
    <w:p>
      <w:pPr>
        <w:pStyle w:val="Heading1"/>
      </w:pPr>
      <w:r>
        <w:t>A1 — Deux versions d’une même situation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Utilisez une manifestation fictive ou le cas synthétique P-02. Écrivez d’abord ce qui est vu, puis une interprétation volontairement excessive. Réécrivez enfin cette seconde version en hypothèse conditionnelle.</w:t>
      </w:r>
    </w:p>
    <w:p>
      <w:pPr>
        <w:pStyle w:val="Heading2"/>
      </w:pPr>
      <w:r>
        <w:t>1. Description limitée au visible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pStyle w:val="Heading2"/>
      </w:pPr>
      <w:r>
        <w:t>2. Interprétation excessive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pStyle w:val="Heading2"/>
      </w:pPr>
      <w:r>
        <w:t>3. Mots qui transforment l’observation en certitude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pStyle w:val="Heading2"/>
      </w:pPr>
      <w:r>
        <w:t>4. Réécriture conditionnelle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r>
        <w:br w:type="page"/>
      </w:r>
    </w:p>
    <w:p>
      <w:pPr>
        <w:pStyle w:val="Heading1"/>
      </w:pPr>
      <w:r>
        <w:t>A2 — Carte en cinq couches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300"/>
        <w:gridCol w:w="3300"/>
        <w:gridCol w:w="2200"/>
        <w:gridCol w:w="2292"/>
      </w:tblGrid>
      <w:tr>
        <w:trPr>
          <w:tblHeader w:val="true"/>
        </w:trPr>
        <w:tc>
          <w:tcPr>
            <w:tcW w:type="dxa" w:w="23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Couche</w:t>
            </w:r>
          </w:p>
        </w:tc>
        <w:tc>
          <w:tcPr>
            <w:tcW w:type="dxa" w:w="33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Éléments du cas</w:t>
            </w:r>
          </w:p>
        </w:tc>
        <w:tc>
          <w:tcPr>
            <w:tcW w:type="dxa" w:w="2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Source ou qualité</w:t>
            </w:r>
          </w:p>
        </w:tc>
        <w:tc>
          <w:tcPr>
            <w:tcW w:type="dxa" w:w="22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Limite</w:t>
            </w:r>
          </w:p>
        </w:tc>
      </w:tr>
      <w:tr>
        <w:tc>
          <w:tcPr>
            <w:tcW w:type="dxa" w:w="2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1. Manifestation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2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2. Contexte</w:t>
            </w:r>
          </w:p>
        </w:tc>
        <w:tc>
          <w:tcPr>
            <w:tcW w:type="dxa" w:w="3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2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3. Indices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2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4. Hypothèses</w:t>
            </w:r>
          </w:p>
        </w:tc>
        <w:tc>
          <w:tcPr>
            <w:tcW w:type="dxa" w:w="3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2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5. Informations à rechercher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t>Pourquoi la forme observée n’est-elle pas une cause démontrée ?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Alternative accessible — </w:t>
      </w:r>
      <w:r>
        <w:rPr>
          <w:rFonts w:ascii="Calibri" w:hAnsi="Calibri"/>
          <w:b w:val="0"/>
          <w:color w:val="1D2A33"/>
          <w:sz w:val="21"/>
        </w:rPr>
        <w:t>le schéma de lecture en cinq couches est également décrit sous forme textuelle afin de conserver le même ordre de lecture.</w:t>
      </w:r>
    </w:p>
    <w:p>
      <w:r>
        <w:br w:type="page"/>
      </w:r>
    </w:p>
    <w:p>
      <w:pPr>
        <w:pStyle w:val="Heading1"/>
      </w:pPr>
      <w:r>
        <w:t>A3 — Matrice d’hypothèses et d’investigations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400"/>
        <w:gridCol w:w="1900"/>
        <w:gridCol w:w="2200"/>
        <w:gridCol w:w="2300"/>
        <w:gridCol w:w="1292"/>
      </w:tblGrid>
      <w:tr>
        <w:trPr>
          <w:tblHeader w:val="true"/>
        </w:trPr>
        <w:tc>
          <w:tcPr>
            <w:tcW w:type="dxa" w:w="24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Hypothèse</w:t>
            </w:r>
          </w:p>
        </w:tc>
        <w:tc>
          <w:tcPr>
            <w:tcW w:type="dxa" w:w="19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Éléments favorables</w:t>
            </w:r>
          </w:p>
        </w:tc>
        <w:tc>
          <w:tcPr>
            <w:tcW w:type="dxa" w:w="2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Limites / contradictions</w:t>
            </w:r>
          </w:p>
        </w:tc>
        <w:tc>
          <w:tcPr>
            <w:tcW w:type="dxa" w:w="23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Information attendue</w:t>
            </w:r>
          </w:p>
        </w:tc>
        <w:tc>
          <w:tcPr>
            <w:tcW w:type="dxa" w:w="12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Confiance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Mouvement différentiel de fondation</w:t>
            </w:r>
          </w:p>
        </w:tc>
        <w:tc>
          <w:tcPr>
            <w:tcW w:type="dxa" w:w="1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2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1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Mouvement local ou reprise d’enduit</w:t>
            </w:r>
          </w:p>
        </w:tc>
        <w:tc>
          <w:tcPr>
            <w:tcW w:type="dxa" w:w="19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2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12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Autre piste, si utile et explicitement non établie</w:t>
            </w:r>
          </w:p>
        </w:tc>
        <w:tc>
          <w:tcPr>
            <w:tcW w:type="dxa" w:w="1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2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  <w:tc>
          <w:tcPr>
            <w:tcW w:type="dxa" w:w="1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t>Relier chaque information à une question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4000"/>
        <w:gridCol w:w="6092"/>
      </w:tblGrid>
      <w:tr>
        <w:trPr>
          <w:tblHeader w:val="true"/>
        </w:trPr>
        <w:tc>
          <w:tcPr>
            <w:tcW w:type="dxa" w:w="4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Information ou investigation proposée</w:t>
            </w:r>
          </w:p>
        </w:tc>
        <w:tc>
          <w:tcPr>
            <w:tcW w:type="dxa" w:w="60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Cette information permettra de vérifier…</w:t>
            </w:r>
          </w:p>
        </w:tc>
      </w:tr>
      <w:tr>
        <w:tc>
          <w:tcPr>
            <w:tcW w:type="dxa" w:w="4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6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6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6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A4 — Relevé traçable du cas synthétique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300"/>
        <w:gridCol w:w="6792"/>
      </w:tblGrid>
      <w:tr>
        <w:trPr>
          <w:tblHeader w:val="true"/>
        </w:trPr>
        <w:tc>
          <w:tcPr>
            <w:tcW w:type="dxa" w:w="33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Rubrique</w:t>
            </w:r>
          </w:p>
        </w:tc>
        <w:tc>
          <w:tcPr>
            <w:tcW w:type="dxa" w:w="67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Votre réponse</w:t>
            </w:r>
          </w:p>
        </w:tc>
      </w:tr>
      <w:tr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Identifiant pédagogique du relevé</w:t>
            </w:r>
          </w:p>
        </w:tc>
        <w:tc>
          <w:tcPr>
            <w:tcW w:type="dxa" w:w="67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Date et conditions fictives d’observation</w:t>
            </w:r>
          </w:p>
        </w:tc>
        <w:tc>
          <w:tcPr>
            <w:tcW w:type="dxa" w:w="67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Manifestation et zone généralisée</w:t>
            </w:r>
          </w:p>
        </w:tc>
        <w:tc>
          <w:tcPr>
            <w:tcW w:type="dxa" w:w="67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Évolution documentée</w:t>
            </w:r>
          </w:p>
        </w:tc>
        <w:tc>
          <w:tcPr>
            <w:tcW w:type="dxa" w:w="67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Qualité et limites des preuves</w:t>
            </w:r>
          </w:p>
        </w:tc>
        <w:tc>
          <w:tcPr>
            <w:tcW w:type="dxa" w:w="67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Sol et fondations connus</w:t>
            </w:r>
          </w:p>
        </w:tc>
        <w:tc>
          <w:tcPr>
            <w:tcW w:type="dxa" w:w="67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Informations manquantes</w:t>
            </w:r>
          </w:p>
        </w:tc>
        <w:tc>
          <w:tcPr>
            <w:tcW w:type="dxa" w:w="67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Hypothèses ouvertes</w:t>
            </w:r>
          </w:p>
        </w:tc>
        <w:tc>
          <w:tcPr>
            <w:tcW w:type="dxa" w:w="67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Orientation proposée</w:t>
            </w:r>
          </w:p>
        </w:tc>
        <w:tc>
          <w:tcPr>
            <w:tcW w:type="dxa" w:w="67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Limite du rôle choisi</w:t>
            </w:r>
          </w:p>
        </w:tc>
        <w:tc>
          <w:tcPr>
            <w:tcW w:type="dxa" w:w="67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t>Transmission prudente — trois à cinq phrases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r>
        <w:br w:type="page"/>
      </w:r>
    </w:p>
    <w:p>
      <w:pPr>
        <w:pStyle w:val="Heading1"/>
      </w:pPr>
      <w:r>
        <w:t>A4-bis — Relecture croisée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4300"/>
        <w:gridCol w:w="850"/>
        <w:gridCol w:w="1300"/>
        <w:gridCol w:w="3642"/>
      </w:tblGrid>
      <w:tr>
        <w:trPr>
          <w:tblHeader w:val="true"/>
        </w:trPr>
        <w:tc>
          <w:tcPr>
            <w:tcW w:type="dxa" w:w="43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Critère</w:t>
            </w:r>
          </w:p>
        </w:tc>
        <w:tc>
          <w:tcPr>
            <w:tcW w:type="dxa" w:w="85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3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À reprendre</w:t>
            </w:r>
          </w:p>
        </w:tc>
        <w:tc>
          <w:tcPr>
            <w:tcW w:type="dxa" w:w="364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Commentaire précis</w:t>
            </w:r>
          </w:p>
        </w:tc>
      </w:tr>
      <w:tr>
        <w:tc>
          <w:tcPr>
            <w:tcW w:type="dxa" w:w="4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Faits et hypothèses séparés</w:t>
            </w:r>
          </w:p>
        </w:tc>
        <w:tc>
          <w:tcPr>
            <w:tcW w:type="dxa" w:w="8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364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Aucune donnée absente inventée</w:t>
            </w:r>
          </w:p>
        </w:tc>
        <w:tc>
          <w:tcPr>
            <w:tcW w:type="dxa" w:w="85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364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Deux hypothèses restent ouvertes</w:t>
            </w:r>
          </w:p>
        </w:tc>
        <w:tc>
          <w:tcPr>
            <w:tcW w:type="dxa" w:w="8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364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Chaque investigation répond à une question</w:t>
            </w:r>
          </w:p>
        </w:tc>
        <w:tc>
          <w:tcPr>
            <w:tcW w:type="dxa" w:w="85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364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Orientation motivée et proportionnée</w:t>
            </w:r>
          </w:p>
        </w:tc>
        <w:tc>
          <w:tcPr>
            <w:tcW w:type="dxa" w:w="8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364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Limite de rôle explicite</w:t>
            </w:r>
          </w:p>
        </w:tc>
        <w:tc>
          <w:tcPr>
            <w:tcW w:type="dxa" w:w="85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364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Aucune précision normative non vérifiée</w:t>
            </w:r>
          </w:p>
        </w:tc>
        <w:tc>
          <w:tcPr>
            <w:tcW w:type="dxa" w:w="8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364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</w:tbl>
    <w:p>
      <w:pPr>
        <w:spacing w:after="40"/>
      </w:pP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1D2A33"/>
          <w:sz w:val="22"/>
        </w:rPr>
        <w:t>Règle : annoter la trace sans réécrire à la place de l’auteur.</w:t>
      </w:r>
    </w:p>
    <w:p>
      <w:r>
        <w:br w:type="page"/>
      </w:r>
    </w:p>
    <w:p>
      <w:pPr>
        <w:pStyle w:val="Heading1"/>
      </w:pPr>
      <w:r>
        <w:t>A5 — Cas synthétique multi-métiers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Rôle pédagogique choisi : __________________________________________</w:t>
      </w:r>
    </w:p>
    <w:p>
      <w:pPr>
        <w:pStyle w:val="Heading2"/>
      </w:pPr>
      <w:r>
        <w:t>A. Trois constats disponibles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pStyle w:val="Heading2"/>
      </w:pPr>
      <w:r>
        <w:t>B. Qualité des preuves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000"/>
        <w:gridCol w:w="3400"/>
        <w:gridCol w:w="3692"/>
      </w:tblGrid>
      <w:tr>
        <w:trPr>
          <w:tblHeader w:val="true"/>
        </w:trPr>
        <w:tc>
          <w:tcPr>
            <w:tcW w:type="dxa" w:w="3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Preuve</w:t>
            </w:r>
          </w:p>
        </w:tc>
        <w:tc>
          <w:tcPr>
            <w:tcW w:type="dxa" w:w="34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Établit</w:t>
            </w:r>
          </w:p>
        </w:tc>
        <w:tc>
          <w:tcPr>
            <w:tcW w:type="dxa" w:w="36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N’établit pas</w:t>
            </w:r>
          </w:p>
        </w:tc>
      </w:tr>
      <w:tr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Fiche d’observation fictive</w:t>
            </w:r>
          </w:p>
        </w:tc>
        <w:tc>
          <w:tcPr>
            <w:tcW w:type="dxa" w:w="3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3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Chronologie fictive</w:t>
            </w:r>
          </w:p>
        </w:tc>
        <w:tc>
          <w:tcPr>
            <w:tcW w:type="dxa" w:w="3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3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Grille de complétude</w:t>
            </w:r>
          </w:p>
        </w:tc>
        <w:tc>
          <w:tcPr>
            <w:tcW w:type="dxa" w:w="3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3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t>C. Informations manquantes et questions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900"/>
        <w:gridCol w:w="6192"/>
      </w:tblGrid>
      <w:tr>
        <w:trPr>
          <w:tblHeader w:val="true"/>
        </w:trPr>
        <w:tc>
          <w:tcPr>
            <w:tcW w:type="dxa" w:w="39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Information manquante</w:t>
            </w:r>
          </w:p>
        </w:tc>
        <w:tc>
          <w:tcPr>
            <w:tcW w:type="dxa" w:w="61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Que cherche-t-on à vérifier ?</w:t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9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61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A5 — Cas synthétique multi-métiers (suite)</w:t>
      </w:r>
    </w:p>
    <w:p>
      <w:pPr>
        <w:pStyle w:val="Heading2"/>
      </w:pPr>
      <w:r>
        <w:t>D. Hypothèses concurrentes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200"/>
        <w:gridCol w:w="2500"/>
        <w:gridCol w:w="2600"/>
        <w:gridCol w:w="1792"/>
      </w:tblGrid>
      <w:tr>
        <w:trPr>
          <w:tblHeader w:val="true"/>
        </w:trPr>
        <w:tc>
          <w:tcPr>
            <w:tcW w:type="dxa" w:w="3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Hypothèse</w:t>
            </w:r>
          </w:p>
        </w:tc>
        <w:tc>
          <w:tcPr>
            <w:tcW w:type="dxa" w:w="25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Élément favorable</w:t>
            </w:r>
          </w:p>
        </w:tc>
        <w:tc>
          <w:tcPr>
            <w:tcW w:type="dxa" w:w="26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Limite</w:t>
            </w:r>
          </w:p>
        </w:tc>
        <w:tc>
          <w:tcPr>
            <w:tcW w:type="dxa" w:w="17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Confiance</w:t>
            </w:r>
          </w:p>
        </w:tc>
      </w:tr>
      <w:tr>
        <w:tc>
          <w:tcPr>
            <w:tcW w:type="dxa" w:w="3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Mouvement différentiel de fondation</w:t>
            </w:r>
          </w:p>
        </w:tc>
        <w:tc>
          <w:tcPr>
            <w:tcW w:type="dxa" w:w="2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17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3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Mouvement local ou reprise d’enduit</w:t>
            </w:r>
          </w:p>
        </w:tc>
        <w:tc>
          <w:tcPr>
            <w:tcW w:type="dxa" w:w="25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26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  <w:tc>
          <w:tcPr>
            <w:tcW w:type="dxa" w:w="17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t>E. Orientation et limite de rôle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1. Ce qui est observé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2. Ce qui doit être documenté ou étudié avant conclusion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3. La fonction ou spécialité à solliciter et la question exacte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r>
        <w:br w:type="page"/>
      </w:r>
    </w:p>
    <w:p>
      <w:pPr>
        <w:pStyle w:val="Heading1"/>
      </w:pPr>
      <w:r>
        <w:t>Évaluation finale</w:t>
      </w:r>
    </w:p>
    <w:p>
      <w:pPr>
        <w:pStyle w:val="Heading2"/>
      </w:pPr>
      <w:r>
        <w:t>Q3 — Formulation étayée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Le cas décrit des fissures en escalier et une évolution, sans documenter le sol ni les fondations. Cochez la formulation justifiée.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☐ A — Un mouvement différentiel est démontré et constitue le diagnostic final.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☐ B — Un mouvement différentiel est une hypothèse à examiner avec d’autres explications et des investigations ciblées.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☐ C — L’absence d’étude du sol prouve que les fissures ne concernent pas les fondations.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☐ D — La chronologie suffit à déterminer la responsabilité d’un intervenant.</w:t>
      </w:r>
    </w:p>
    <w:p>
      <w:pPr>
        <w:pStyle w:val="Heading2"/>
      </w:pPr>
      <w:r>
        <w:t>Q4 — Ordre du relevé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Numérotez de 1 à 5 :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___ Identifier l’ouvrage, le support, la zone et le contexte.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___ Décrire et localiser les manifestations sans cause.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___ Lister les informations manquantes et les limites.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___ Formuler des hypothèses concurrentes.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___ Proposer une orientation proportionnée au rôle.</w:t>
      </w:r>
    </w:p>
    <w:p>
      <w:r>
        <w:br w:type="page"/>
      </w:r>
    </w:p>
    <w:p>
      <w:pPr>
        <w:pStyle w:val="Heading1"/>
      </w:pPr>
      <w:r>
        <w:t>Évaluation finale (suite)</w:t>
      </w:r>
    </w:p>
    <w:p>
      <w:pPr>
        <w:pStyle w:val="Heading2"/>
      </w:pPr>
      <w:r>
        <w:t>Q5 — Classer les fonctions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5200"/>
        <w:gridCol w:w="1100"/>
        <w:gridCol w:w="1400"/>
        <w:gridCol w:w="1100"/>
        <w:gridCol w:w="1292"/>
      </w:tblGrid>
      <w:tr>
        <w:trPr>
          <w:tblHeader w:val="true"/>
        </w:trPr>
        <w:tc>
          <w:tcPr>
            <w:tcW w:type="dxa" w:w="5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Énoncé</w:t>
            </w:r>
          </w:p>
        </w:tc>
        <w:tc>
          <w:tcPr>
            <w:tcW w:type="dxa" w:w="11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Fait</w:t>
            </w:r>
          </w:p>
        </w:tc>
        <w:tc>
          <w:tcPr>
            <w:tcW w:type="dxa" w:w="14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Hypothèse</w:t>
            </w:r>
          </w:p>
        </w:tc>
        <w:tc>
          <w:tcPr>
            <w:tcW w:type="dxa" w:w="11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Manque</w:t>
            </w:r>
          </w:p>
        </w:tc>
        <w:tc>
          <w:tcPr>
            <w:tcW w:type="dxa" w:w="12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Orientation</w:t>
            </w:r>
          </w:p>
        </w:tc>
      </w:tr>
      <w:tr>
        <w:tc>
          <w:tcPr>
            <w:tcW w:type="dxa" w:w="5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Des fissures obliques sont décrites.</w:t>
            </w:r>
          </w:p>
        </w:tc>
        <w:tc>
          <w:tcPr>
            <w:tcW w:type="dxa" w:w="1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</w:tr>
      <w:tr>
        <w:tc>
          <w:tcPr>
            <w:tcW w:type="dxa" w:w="5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Un mouvement différentiel pourrait contribuer.</w:t>
            </w:r>
          </w:p>
        </w:tc>
        <w:tc>
          <w:tcPr>
            <w:tcW w:type="dxa" w:w="1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2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</w:tr>
      <w:tr>
        <w:tc>
          <w:tcPr>
            <w:tcW w:type="dxa" w:w="5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La géométrie des fondations n’est pas documentée.</w:t>
            </w:r>
          </w:p>
        </w:tc>
        <w:tc>
          <w:tcPr>
            <w:tcW w:type="dxa" w:w="1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</w:tr>
      <w:tr>
        <w:tc>
          <w:tcPr>
            <w:tcW w:type="dxa" w:w="5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Définir des investigations adaptées avant conclusion.</w:t>
            </w:r>
          </w:p>
        </w:tc>
        <w:tc>
          <w:tcPr>
            <w:tcW w:type="dxa" w:w="1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  <w:tc>
          <w:tcPr>
            <w:tcW w:type="dxa" w:w="12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☐</w:t>
            </w:r>
          </w:p>
        </w:tc>
      </w:tr>
    </w:tbl>
    <w:p>
      <w:pPr>
        <w:spacing w:after="40"/>
      </w:pPr>
    </w:p>
    <w:p>
      <w:pPr>
        <w:pStyle w:val="Heading2"/>
      </w:pPr>
      <w:r>
        <w:t>Q6 — Transmission prudente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Rédigez deux à quatre phrases. Mentionnez les fissures décrites, au moins une information manquante et une suite proportionnée, sans poser de diagnostic.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8500"/>
        <w:gridCol w:w="1592"/>
      </w:tblGrid>
      <w:tr>
        <w:trPr>
          <w:tblHeader w:val="true"/>
        </w:trPr>
        <w:tc>
          <w:tcPr>
            <w:tcW w:type="dxa" w:w="85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Auto-contrôle</w:t>
            </w:r>
          </w:p>
        </w:tc>
        <w:tc>
          <w:tcPr>
            <w:tcW w:type="dxa" w:w="15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Oui</w:t>
            </w:r>
          </w:p>
        </w:tc>
      </w:tr>
      <w:tr>
        <w:tc>
          <w:tcPr>
            <w:tcW w:type="dxa" w:w="8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J’ai décrit sans affirmer la cause.</w:t>
            </w:r>
          </w:p>
        </w:tc>
        <w:tc>
          <w:tcPr>
            <w:tcW w:type="dxa" w:w="15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  <w:tr>
        <w:tc>
          <w:tcPr>
            <w:tcW w:type="dxa" w:w="85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J’ai cité une information manquante.</w:t>
            </w:r>
          </w:p>
        </w:tc>
        <w:tc>
          <w:tcPr>
            <w:tcW w:type="dxa" w:w="15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  <w:tr>
        <w:tc>
          <w:tcPr>
            <w:tcW w:type="dxa" w:w="8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J’ai proposé une orientation compatible avec le rôle.</w:t>
            </w:r>
          </w:p>
        </w:tc>
        <w:tc>
          <w:tcPr>
            <w:tcW w:type="dxa" w:w="15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  <w:tr>
        <w:tc>
          <w:tcPr>
            <w:tcW w:type="dxa" w:w="85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J’ai exprimé une limite ou une incertitude.</w:t>
            </w:r>
          </w:p>
        </w:tc>
        <w:tc>
          <w:tcPr>
            <w:tcW w:type="dxa" w:w="15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Plan personnel de transfert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Choisissez une pratique que vous pouvez modifier dès votre prochain relevé. N’inscrivez aucune information de dossier réel.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4100"/>
        <w:gridCol w:w="5992"/>
      </w:tblGrid>
      <w:tr>
        <w:trPr>
          <w:tblHeader w:val="true"/>
        </w:trPr>
        <w:tc>
          <w:tcPr>
            <w:tcW w:type="dxa" w:w="41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59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Votre décision</w:t>
            </w:r>
          </w:p>
        </w:tc>
      </w:tr>
      <w:tr>
        <w:tc>
          <w:tcPr>
            <w:tcW w:type="dxa" w:w="4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Quelle pratique vais-je modifier ?</w:t>
            </w:r>
          </w:p>
        </w:tc>
        <w:tc>
          <w:tcPr>
            <w:tcW w:type="dxa" w:w="5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Quel déclencheur me rappellera de le faire ?</w:t>
            </w:r>
          </w:p>
        </w:tc>
        <w:tc>
          <w:tcPr>
            <w:tcW w:type="dxa" w:w="59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Quelle trace vais-je ajouter ?</w:t>
            </w:r>
          </w:p>
        </w:tc>
        <w:tc>
          <w:tcPr>
            <w:tcW w:type="dxa" w:w="5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Quelle limite de rôle vais-je rendre explicite ?</w:t>
            </w:r>
          </w:p>
        </w:tc>
        <w:tc>
          <w:tcPr>
            <w:tcW w:type="dxa" w:w="59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  <w:tr>
        <w:tc>
          <w:tcPr>
            <w:tcW w:type="dxa" w:w="4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Comment vérifierai-je l’effet ?</w:t>
            </w:r>
          </w:p>
        </w:tc>
        <w:tc>
          <w:tcPr>
            <w:tcW w:type="dxa" w:w="5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final — </w:t>
      </w:r>
      <w:r>
        <w:rPr>
          <w:rFonts w:ascii="Calibri" w:hAnsi="Calibri"/>
          <w:b w:val="0"/>
          <w:color w:val="1D2A33"/>
          <w:sz w:val="21"/>
        </w:rPr>
        <w:t>Observer • Décrire • Classer • Documenter • Orienter • Transmettre</w:t>
      </w: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Repère final — </w:t>
      </w:r>
      <w:r>
        <w:rPr>
          <w:rFonts w:ascii="Calibri" w:hAnsi="Calibri"/>
          <w:b w:val="0"/>
          <w:color w:val="1D2A33"/>
          <w:sz w:val="21"/>
        </w:rPr>
        <w:t>Une production recevable distingue les faits, les hypothèses, les lacunes, l’orientation et la limite du rôle.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  <w:pBdr>
        <w:top w:val="single" w:sz="5" w:space="4" w:color="E8DDD0"/>
      </w:pBdr>
    </w:pPr>
    <w:r>
      <w:rPr>
        <w:rFonts w:ascii="Calibri" w:hAnsi="Calibri"/>
        <w:b w:val="0"/>
        <w:color w:val="4E5F69"/>
        <w:sz w:val="16"/>
      </w:rPr>
      <w:t xml:space="preserve">Formation P-02 • page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0" w:space="4" w:color="B8663B"/>
      </w:pBdr>
    </w:pPr>
    <w:r>
      <w:rPr>
        <w:rFonts w:ascii="Calibri" w:hAnsi="Calibri"/>
        <w:b/>
        <w:color w:val="1D2A33"/>
        <w:sz w:val="19"/>
      </w:rPr>
      <w:t>IEB</w:t>
    </w:r>
    <w:r>
      <w:rPr>
        <w:rFonts w:ascii="Calibri" w:hAnsi="Calibri"/>
        <w:b/>
        <w:color w:val="4E5F69"/>
        <w:sz w:val="15"/>
      </w:rPr>
      <w:t xml:space="preserve">   INSTITUT DE L’EXPERTISE EN BÂTIMENT   •   P-02   •   CAHIER D’ACTIVITÉS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D2A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66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66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D2A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d’activités L06</dc:title>
  <dc:subject>Compilation L06 du cours maître P-02</dc:subject>
  <dc:creator>python-docx</dc:creator>
  <cp:keywords>IEB, P-02, L06, formation, expertise de terrain</cp:keywords>
  <dc:description>Cours maître canonique : L05 0.2.0. Profil H01 terrain premium 1.0.0.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