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
      </w:pPr>
      <w:r>
        <w:rPr>
          <w:rFonts w:ascii="Arial" w:hAnsi="Arial"/>
          <w:b/>
          <w:i w:val="0"/>
          <w:color w:val="994A28"/>
          <w:sz w:val="18"/>
        </w:rPr>
        <w:t>P-05  |  PARCOURS OPÉRATIONNEL</w:t>
      </w:r>
    </w:p>
    <w:p>
      <w:pPr>
        <w:pStyle w:val="Title"/>
      </w:pPr>
      <w:r>
        <w:rPr>
          <w:rFonts w:ascii="Arial" w:hAnsi="Arial"/>
          <w:b/>
          <w:i w:val="0"/>
          <w:color w:val="243746"/>
          <w:sz w:val="52"/>
        </w:rPr>
        <w:t>CORRIGÉ INDICATIF</w:t>
      </w:r>
    </w:p>
    <w:p>
      <w:pPr>
        <w:spacing w:after="240"/>
      </w:pPr>
      <w:r>
        <w:rPr>
          <w:rFonts w:ascii="Arial" w:hAnsi="Arial"/>
          <w:b/>
          <w:i w:val="0"/>
          <w:color w:val="637565"/>
          <w:sz w:val="26"/>
        </w:rPr>
        <w:t>Repères de correction pour le dossier des Tilleuls</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AF0F3"/>
            <w:tcMar>
              <w:top w:w="130" w:type="dxa"/>
              <w:start w:w="170" w:type="dxa"/>
              <w:bottom w:w="130" w:type="dxa"/>
              <w:end w:w="170" w:type="dxa"/>
            </w:tcMar>
            <w:vAlign w:val="center"/>
          </w:tcPr>
          <w:p>
            <w:pPr>
              <w:spacing w:after="0"/>
            </w:pPr>
            <w:r>
              <w:rPr>
                <w:rFonts w:ascii="Arial" w:hAnsi="Arial"/>
                <w:b/>
                <w:i w:val="0"/>
                <w:color w:val="994A28"/>
                <w:sz w:val="21"/>
              </w:rPr>
              <w:t xml:space="preserve">Format — </w:t>
            </w:r>
            <w:r>
              <w:rPr>
                <w:rFonts w:ascii="Arial" w:hAnsi="Arial"/>
                <w:b w:val="0"/>
                <w:i w:val="0"/>
                <w:color w:val="20282D"/>
                <w:sz w:val="21"/>
              </w:rPr>
              <w:t>16 corrigés guidés | réponses non uniques | revue humaine pour les productions finales</w:t>
            </w:r>
          </w:p>
        </w:tc>
      </w:tr>
    </w:tbl>
    <w:p>
      <w:pPr>
        <w:spacing w:after="20"/>
      </w:pPr>
    </w:p>
    <w:p>
      <w:pPr>
        <w:spacing w:after="60"/>
        <w:jc w:val="center"/>
      </w:pPr>
      <w:r>
        <w:drawing>
          <wp:inline xmlns:a="http://schemas.openxmlformats.org/drawingml/2006/main" xmlns:pic="http://schemas.openxmlformats.org/drawingml/2006/picture">
            <wp:extent cx="5544000" cy="3696000"/>
            <wp:docPr id="1" name="Picture 1" descr="Illustration originale IEB du parcours P-05 ; la Maison des Tilleuls et ses pièces sont entièrement fictives." title="Illustration originale IEB"/>
            <wp:cNvGraphicFramePr>
              <a:graphicFrameLocks noChangeAspect="1"/>
            </wp:cNvGraphicFramePr>
            <a:graphic>
              <a:graphicData uri="http://schemas.openxmlformats.org/drawingml/2006/picture">
                <pic:pic>
                  <pic:nvPicPr>
                    <pic:cNvPr id="0" name="ieb-asset-p05-000002__dossier-maison-tilleuls__v0.1.0.png"/>
                    <pic:cNvPicPr/>
                  </pic:nvPicPr>
                  <pic:blipFill>
                    <a:blip r:embed="rId11"/>
                    <a:stretch>
                      <a:fillRect/>
                    </a:stretch>
                  </pic:blipFill>
                  <pic:spPr>
                    <a:xfrm>
                      <a:off x="0" y="0"/>
                      <a:ext cx="5544000" cy="3696000"/>
                    </a:xfrm>
                    <a:prstGeom prst="rect"/>
                  </pic:spPr>
                </pic:pic>
              </a:graphicData>
            </a:graphic>
          </wp:inline>
        </w:drawing>
      </w:r>
    </w:p>
    <w:p>
      <w:pPr>
        <w:spacing w:after="160"/>
        <w:jc w:val="center"/>
      </w:pPr>
      <w:r>
        <w:rPr>
          <w:rFonts w:ascii="Arial" w:hAnsi="Arial"/>
          <w:b w:val="0"/>
          <w:i/>
          <w:color w:val="5D686E"/>
          <w:sz w:val="17"/>
        </w:rPr>
        <w:t>Illustration originale IEB du parcours P-05 ; la Maison des Tilleuls et ses pièces sont entièrement fictives.</w:t>
      </w:r>
    </w:p>
    <w:p>
      <w:pPr>
        <w:spacing w:before="40"/>
      </w:pPr>
      <w:r>
        <w:rPr>
          <w:rFonts w:ascii="Arial" w:hAnsi="Arial"/>
          <w:b w:val="0"/>
          <w:i/>
          <w:color w:val="20282D"/>
          <w:sz w:val="22"/>
        </w:rPr>
        <w:t>Transformer une mission technique et un dossier hétérogène en un rapport contrôlable, borné et utile à la décision.</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AF0F3"/>
            <w:tcMar>
              <w:top w:w="130" w:type="dxa"/>
              <w:start w:w="170" w:type="dxa"/>
              <w:bottom w:w="130" w:type="dxa"/>
              <w:end w:w="170" w:type="dxa"/>
            </w:tcMar>
            <w:vAlign w:val="center"/>
          </w:tcPr>
          <w:p>
            <w:pPr>
              <w:spacing w:after="0"/>
            </w:pPr>
            <w:r>
              <w:rPr>
                <w:rFonts w:ascii="Arial" w:hAnsi="Arial"/>
                <w:b/>
                <w:i w:val="0"/>
                <w:color w:val="994A28"/>
                <w:sz w:val="21"/>
              </w:rPr>
              <w:t xml:space="preserve">Usage — </w:t>
            </w:r>
            <w:r>
              <w:rPr>
                <w:rFonts w:ascii="Arial" w:hAnsi="Arial"/>
                <w:b w:val="0"/>
                <w:i w:val="0"/>
                <w:color w:val="20282D"/>
                <w:sz w:val="21"/>
              </w:rPr>
              <w:t>Comparez le statut des informations, le fil de preuve et la proportion de la conclusion. Ne cherchez pas à reproduire mot pour mot la formulation proposée.</w:t>
            </w:r>
          </w:p>
        </w:tc>
      </w:tr>
    </w:tbl>
    <w:p>
      <w:pPr>
        <w:spacing w:after="20"/>
      </w:pPr>
    </w:p>
    <w:p>
      <w:r>
        <w:br w:type="page"/>
      </w:r>
    </w:p>
    <w:p>
      <w:pPr>
        <w:pStyle w:val="Heading1"/>
      </w:pPr>
      <w:r>
        <w:t>Correction 1 - Cadrage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EF"/>
            <w:tcMar>
              <w:top w:w="130" w:type="dxa"/>
              <w:start w:w="170" w:type="dxa"/>
              <w:bottom w:w="130" w:type="dxa"/>
              <w:end w:w="170" w:type="dxa"/>
            </w:tcMar>
            <w:vAlign w:val="center"/>
          </w:tcPr>
          <w:p>
            <w:pPr>
              <w:spacing w:after="0"/>
            </w:pPr>
            <w:r>
              <w:rPr>
                <w:rFonts w:ascii="Arial" w:hAnsi="Arial"/>
                <w:b/>
                <w:i w:val="0"/>
                <w:color w:val="994A28"/>
                <w:sz w:val="21"/>
              </w:rPr>
              <w:t xml:space="preserve">Réponse indicative — </w:t>
            </w:r>
            <w:r>
              <w:rPr>
                <w:rFonts w:ascii="Arial" w:hAnsi="Arial"/>
                <w:b w:val="0"/>
                <w:i w:val="0"/>
                <w:color w:val="20282D"/>
                <w:sz w:val="21"/>
              </w:rPr>
              <w:t>Une formulation possible : 'Décrire les manifestations accessibles à la jonction ; examiner les mécanismes compatibles avec les pièces communiquées ; proposer l'information susceptible de les départager.' Le paiement, la responsabilité et la conformité exhaustive restent hors de cette question technique.</w:t>
            </w:r>
          </w:p>
        </w:tc>
      </w:tr>
    </w:tbl>
    <w:p>
      <w:pPr>
        <w:spacing w:after="20"/>
      </w:pPr>
    </w:p>
    <w:p>
      <w:pPr>
        <w:pStyle w:val="Heading2"/>
      </w:pPr>
      <w:r>
        <w:t>Pourquoi cette réponse tient</w:t>
      </w:r>
    </w:p>
    <w:p>
      <w:pPr>
        <w:pStyle w:val="ListBullet"/>
      </w:pPr>
      <w:r>
        <w:rPr>
          <w:rFonts w:ascii="Arial" w:hAnsi="Arial"/>
          <w:b w:val="0"/>
          <w:i w:val="0"/>
          <w:color w:val="20282D"/>
          <w:sz w:val="21"/>
        </w:rPr>
        <w:t>Elle revient à un point de mission identifiable.</w:t>
      </w:r>
    </w:p>
    <w:p>
      <w:pPr>
        <w:pStyle w:val="ListBullet"/>
      </w:pPr>
      <w:r>
        <w:rPr>
          <w:rFonts w:ascii="Arial" w:hAnsi="Arial"/>
          <w:b w:val="0"/>
          <w:i w:val="0"/>
          <w:color w:val="20282D"/>
          <w:sz w:val="21"/>
        </w:rPr>
        <w:t>Elle distingue pièce, constat, déclaration et inférence.</w:t>
      </w:r>
    </w:p>
    <w:p>
      <w:pPr>
        <w:pStyle w:val="ListBullet"/>
      </w:pPr>
      <w:r>
        <w:rPr>
          <w:rFonts w:ascii="Arial" w:hAnsi="Arial"/>
          <w:b w:val="0"/>
          <w:i w:val="0"/>
          <w:color w:val="20282D"/>
          <w:sz w:val="21"/>
        </w:rPr>
        <w:t>Elle conserve une limite ou une alternative significative.</w:t>
      </w:r>
    </w:p>
    <w:p>
      <w:pPr>
        <w:pStyle w:val="ListBullet"/>
      </w:pPr>
      <w:r>
        <w:rPr>
          <w:rFonts w:ascii="Arial" w:hAnsi="Arial"/>
          <w:b w:val="0"/>
          <w:i w:val="0"/>
          <w:color w:val="20282D"/>
          <w:sz w:val="21"/>
        </w:rPr>
        <w:t>Elle ne transforme pas l'avis technique en appréciation juridique.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7F3EA"/>
            <w:tcMar>
              <w:top w:w="130" w:type="dxa"/>
              <w:start w:w="170" w:type="dxa"/>
              <w:bottom w:w="130" w:type="dxa"/>
              <w:end w:w="170" w:type="dxa"/>
            </w:tcMar>
            <w:vAlign w:val="center"/>
          </w:tcPr>
          <w:p>
            <w:pPr>
              <w:spacing w:after="0"/>
            </w:pPr>
            <w:r>
              <w:rPr>
                <w:rFonts w:ascii="Arial" w:hAnsi="Arial"/>
                <w:b/>
                <w:i w:val="0"/>
                <w:color w:val="994A28"/>
                <w:sz w:val="21"/>
              </w:rPr>
              <w:t xml:space="preserve">Vigilance — </w:t>
            </w:r>
            <w:r>
              <w:rPr>
                <w:rFonts w:ascii="Arial" w:hAnsi="Arial"/>
                <w:b w:val="0"/>
                <w:i w:val="0"/>
                <w:color w:val="20282D"/>
                <w:sz w:val="21"/>
              </w:rPr>
              <w:t>Un cadrage solide indique aussi le commanditaire, les destinataires, les limites d'accès et le livrable.</w:t>
            </w:r>
          </w:p>
        </w:tc>
      </w:tr>
    </w:tbl>
    <w:p>
      <w:pPr>
        <w:spacing w:after="20"/>
      </w:pPr>
    </w:p>
    <w:p>
      <w:pPr>
        <w:pStyle w:val="Heading2"/>
      </w:pPr>
      <w:r>
        <w:t>Auto-contrôle</w:t>
      </w:r>
    </w:p>
    <w:p>
      <w:r>
        <w:rPr>
          <w:rFonts w:ascii="Arial" w:hAnsi="Arial"/>
          <w:b w:val="0"/>
          <w:i w:val="0"/>
          <w:color w:val="20282D"/>
          <w:sz w:val="21"/>
        </w:rPr>
        <w:t>Réécrivez votre réponse si un lecteur ne peut pas retrouver la pièce, comprendre l'inférence ou savoir ce qui manque.</w:t>
      </w:r>
    </w:p>
    <w:p>
      <w:r>
        <w:br w:type="page"/>
      </w:r>
    </w:p>
    <w:p>
      <w:pPr>
        <w:pStyle w:val="Heading1"/>
      </w:pPr>
      <w:r>
        <w:t>Correction 2 - Contrat de réponse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EF"/>
            <w:tcMar>
              <w:top w:w="130" w:type="dxa"/>
              <w:start w:w="170" w:type="dxa"/>
              <w:bottom w:w="130" w:type="dxa"/>
              <w:end w:w="170" w:type="dxa"/>
            </w:tcMar>
            <w:vAlign w:val="center"/>
          </w:tcPr>
          <w:p>
            <w:pPr>
              <w:spacing w:after="0"/>
            </w:pPr>
            <w:r>
              <w:rPr>
                <w:rFonts w:ascii="Arial" w:hAnsi="Arial"/>
                <w:b/>
                <w:i w:val="0"/>
                <w:color w:val="994A28"/>
                <w:sz w:val="21"/>
              </w:rPr>
              <w:t xml:space="preserve">Réponse indicative — </w:t>
            </w:r>
            <w:r>
              <w:rPr>
                <w:rFonts w:ascii="Arial" w:hAnsi="Arial"/>
                <w:b w:val="0"/>
                <w:i w:val="0"/>
                <w:color w:val="20282D"/>
                <w:sz w:val="21"/>
              </w:rPr>
              <w:t>Pour l'auréole : question = décrire et examiner les apports compatibles ; preuves = relevé, chronologie, toiture et réseaux ; méthode = comparaison des trajets ; limite = aucune ouverture autorisée ; sortie = conclusion graduée et investigation utile.</w:t>
            </w:r>
          </w:p>
        </w:tc>
      </w:tr>
    </w:tbl>
    <w:p>
      <w:pPr>
        <w:spacing w:after="20"/>
      </w:pPr>
    </w:p>
    <w:p>
      <w:pPr>
        <w:pStyle w:val="Heading2"/>
      </w:pPr>
      <w:r>
        <w:t>Pourquoi cette réponse tient</w:t>
      </w:r>
    </w:p>
    <w:p>
      <w:pPr>
        <w:pStyle w:val="ListBullet"/>
      </w:pPr>
      <w:r>
        <w:rPr>
          <w:rFonts w:ascii="Arial" w:hAnsi="Arial"/>
          <w:b w:val="0"/>
          <w:i w:val="0"/>
          <w:color w:val="20282D"/>
          <w:sz w:val="21"/>
        </w:rPr>
        <w:t>Elle revient à un point de mission identifiable.</w:t>
      </w:r>
    </w:p>
    <w:p>
      <w:pPr>
        <w:pStyle w:val="ListBullet"/>
      </w:pPr>
      <w:r>
        <w:rPr>
          <w:rFonts w:ascii="Arial" w:hAnsi="Arial"/>
          <w:b w:val="0"/>
          <w:i w:val="0"/>
          <w:color w:val="20282D"/>
          <w:sz w:val="21"/>
        </w:rPr>
        <w:t>Elle distingue pièce, constat, déclaration et inférence.</w:t>
      </w:r>
    </w:p>
    <w:p>
      <w:pPr>
        <w:pStyle w:val="ListBullet"/>
      </w:pPr>
      <w:r>
        <w:rPr>
          <w:rFonts w:ascii="Arial" w:hAnsi="Arial"/>
          <w:b w:val="0"/>
          <w:i w:val="0"/>
          <w:color w:val="20282D"/>
          <w:sz w:val="21"/>
        </w:rPr>
        <w:t>Elle conserve une limite ou une alternative significative.</w:t>
      </w:r>
    </w:p>
    <w:p>
      <w:pPr>
        <w:pStyle w:val="ListBullet"/>
      </w:pPr>
      <w:r>
        <w:rPr>
          <w:rFonts w:ascii="Arial" w:hAnsi="Arial"/>
          <w:b w:val="0"/>
          <w:i w:val="0"/>
          <w:color w:val="20282D"/>
          <w:sz w:val="21"/>
        </w:rPr>
        <w:t>Elle ne transforme pas l'avis technique en appréciation juridique.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7F3EA"/>
            <w:tcMar>
              <w:top w:w="130" w:type="dxa"/>
              <w:start w:w="170" w:type="dxa"/>
              <w:bottom w:w="130" w:type="dxa"/>
              <w:end w:w="170" w:type="dxa"/>
            </w:tcMar>
            <w:vAlign w:val="center"/>
          </w:tcPr>
          <w:p>
            <w:pPr>
              <w:spacing w:after="0"/>
            </w:pPr>
            <w:r>
              <w:rPr>
                <w:rFonts w:ascii="Arial" w:hAnsi="Arial"/>
                <w:b/>
                <w:i w:val="0"/>
                <w:color w:val="994A28"/>
                <w:sz w:val="21"/>
              </w:rPr>
              <w:t xml:space="preserve">Vigilance — </w:t>
            </w:r>
            <w:r>
              <w:rPr>
                <w:rFonts w:ascii="Arial" w:hAnsi="Arial"/>
                <w:b w:val="0"/>
                <w:i w:val="0"/>
                <w:color w:val="20282D"/>
                <w:sz w:val="21"/>
              </w:rPr>
              <w:t>La colonne réponse finale ne doit pas être préremplie par une cause supposée.</w:t>
            </w:r>
          </w:p>
        </w:tc>
      </w:tr>
    </w:tbl>
    <w:p>
      <w:pPr>
        <w:spacing w:after="20"/>
      </w:pPr>
    </w:p>
    <w:p>
      <w:pPr>
        <w:pStyle w:val="Heading2"/>
      </w:pPr>
      <w:r>
        <w:t>Auto-contrôle</w:t>
      </w:r>
    </w:p>
    <w:p>
      <w:r>
        <w:rPr>
          <w:rFonts w:ascii="Arial" w:hAnsi="Arial"/>
          <w:b w:val="0"/>
          <w:i w:val="0"/>
          <w:color w:val="20282D"/>
          <w:sz w:val="21"/>
        </w:rPr>
        <w:t>Réécrivez votre réponse si un lecteur ne peut pas retrouver la pièce, comprendre l'inférence ou savoir ce qui manque.</w:t>
      </w:r>
    </w:p>
    <w:p>
      <w:r>
        <w:br w:type="page"/>
      </w:r>
    </w:p>
    <w:p>
      <w:pPr>
        <w:pStyle w:val="Heading1"/>
      </w:pPr>
      <w:r>
        <w:t>Correction 3 - Bordereau</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EF"/>
            <w:tcMar>
              <w:top w:w="130" w:type="dxa"/>
              <w:start w:w="170" w:type="dxa"/>
              <w:bottom w:w="130" w:type="dxa"/>
              <w:end w:w="170" w:type="dxa"/>
            </w:tcMar>
            <w:vAlign w:val="center"/>
          </w:tcPr>
          <w:p>
            <w:pPr>
              <w:spacing w:after="0"/>
            </w:pPr>
            <w:r>
              <w:rPr>
                <w:rFonts w:ascii="Arial" w:hAnsi="Arial"/>
                <w:b/>
                <w:i w:val="0"/>
                <w:color w:val="994A28"/>
                <w:sz w:val="21"/>
              </w:rPr>
              <w:t xml:space="preserve">Réponse indicative — </w:t>
            </w:r>
            <w:r>
              <w:rPr>
                <w:rFonts w:ascii="Arial" w:hAnsi="Arial"/>
                <w:b w:val="0"/>
                <w:i w:val="0"/>
                <w:color w:val="20282D"/>
                <w:sz w:val="21"/>
              </w:rPr>
              <w:t>Le plan est qualifié 'indice B, date absente, conformité à l'exécution non établie'. La facture prouve une désignation facturée, non le détail de l'exécution. Les photographies ont des dates déclarées mais pas de métadonnées exploitables. Le relevé établit l'état accessible le jour de la visite.</w:t>
            </w:r>
          </w:p>
        </w:tc>
      </w:tr>
    </w:tbl>
    <w:p>
      <w:pPr>
        <w:spacing w:after="20"/>
      </w:pPr>
    </w:p>
    <w:p>
      <w:pPr>
        <w:pStyle w:val="Heading2"/>
      </w:pPr>
      <w:r>
        <w:t>Pourquoi cette réponse tient</w:t>
      </w:r>
    </w:p>
    <w:p>
      <w:pPr>
        <w:pStyle w:val="ListBullet"/>
      </w:pPr>
      <w:r>
        <w:rPr>
          <w:rFonts w:ascii="Arial" w:hAnsi="Arial"/>
          <w:b w:val="0"/>
          <w:i w:val="0"/>
          <w:color w:val="20282D"/>
          <w:sz w:val="21"/>
        </w:rPr>
        <w:t>Elle revient à un point de mission identifiable.</w:t>
      </w:r>
    </w:p>
    <w:p>
      <w:pPr>
        <w:pStyle w:val="ListBullet"/>
      </w:pPr>
      <w:r>
        <w:rPr>
          <w:rFonts w:ascii="Arial" w:hAnsi="Arial"/>
          <w:b w:val="0"/>
          <w:i w:val="0"/>
          <w:color w:val="20282D"/>
          <w:sz w:val="21"/>
        </w:rPr>
        <w:t>Elle distingue pièce, constat, déclaration et inférence.</w:t>
      </w:r>
    </w:p>
    <w:p>
      <w:pPr>
        <w:pStyle w:val="ListBullet"/>
      </w:pPr>
      <w:r>
        <w:rPr>
          <w:rFonts w:ascii="Arial" w:hAnsi="Arial"/>
          <w:b w:val="0"/>
          <w:i w:val="0"/>
          <w:color w:val="20282D"/>
          <w:sz w:val="21"/>
        </w:rPr>
        <w:t>Elle conserve une limite ou une alternative significative.</w:t>
      </w:r>
    </w:p>
    <w:p>
      <w:pPr>
        <w:pStyle w:val="ListBullet"/>
      </w:pPr>
      <w:r>
        <w:rPr>
          <w:rFonts w:ascii="Arial" w:hAnsi="Arial"/>
          <w:b w:val="0"/>
          <w:i w:val="0"/>
          <w:color w:val="20282D"/>
          <w:sz w:val="21"/>
        </w:rPr>
        <w:t>Elle ne transforme pas l'avis technique en appréciation juridique.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7F3EA"/>
            <w:tcMar>
              <w:top w:w="130" w:type="dxa"/>
              <w:start w:w="170" w:type="dxa"/>
              <w:bottom w:w="130" w:type="dxa"/>
              <w:end w:w="170" w:type="dxa"/>
            </w:tcMar>
            <w:vAlign w:val="center"/>
          </w:tcPr>
          <w:p>
            <w:pPr>
              <w:spacing w:after="0"/>
            </w:pPr>
            <w:r>
              <w:rPr>
                <w:rFonts w:ascii="Arial" w:hAnsi="Arial"/>
                <w:b/>
                <w:i w:val="0"/>
                <w:color w:val="994A28"/>
                <w:sz w:val="21"/>
              </w:rPr>
              <w:t xml:space="preserve">Vigilance — </w:t>
            </w:r>
            <w:r>
              <w:rPr>
                <w:rFonts w:ascii="Arial" w:hAnsi="Arial"/>
                <w:b w:val="0"/>
                <w:i w:val="0"/>
                <w:color w:val="20282D"/>
                <w:sz w:val="21"/>
              </w:rPr>
              <w:t>Une limite correctement rédigée précise la question qu'elle empêche de trancher.</w:t>
            </w:r>
          </w:p>
        </w:tc>
      </w:tr>
    </w:tbl>
    <w:p>
      <w:pPr>
        <w:spacing w:after="20"/>
      </w:pPr>
    </w:p>
    <w:p>
      <w:pPr>
        <w:pStyle w:val="Heading2"/>
      </w:pPr>
      <w:r>
        <w:t>Auto-contrôle</w:t>
      </w:r>
    </w:p>
    <w:p>
      <w:r>
        <w:rPr>
          <w:rFonts w:ascii="Arial" w:hAnsi="Arial"/>
          <w:b w:val="0"/>
          <w:i w:val="0"/>
          <w:color w:val="20282D"/>
          <w:sz w:val="21"/>
        </w:rPr>
        <w:t>Réécrivez votre réponse si un lecteur ne peut pas retrouver la pièce, comprendre l'inférence ou savoir ce qui manque.</w:t>
      </w:r>
    </w:p>
    <w:p>
      <w:r>
        <w:br w:type="page"/>
      </w:r>
    </w:p>
    <w:p>
      <w:pPr>
        <w:pStyle w:val="Heading1"/>
      </w:pPr>
      <w:r>
        <w:t>Correction 4 - Opération</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EF"/>
            <w:tcMar>
              <w:top w:w="130" w:type="dxa"/>
              <w:start w:w="170" w:type="dxa"/>
              <w:bottom w:w="130" w:type="dxa"/>
              <w:end w:w="170" w:type="dxa"/>
            </w:tcMar>
            <w:vAlign w:val="center"/>
          </w:tcPr>
          <w:p>
            <w:pPr>
              <w:spacing w:after="0"/>
            </w:pPr>
            <w:r>
              <w:rPr>
                <w:rFonts w:ascii="Arial" w:hAnsi="Arial"/>
                <w:b/>
                <w:i w:val="0"/>
                <w:color w:val="994A28"/>
                <w:sz w:val="21"/>
              </w:rPr>
              <w:t xml:space="preserve">Réponse indicative — </w:t>
            </w:r>
            <w:r>
              <w:rPr>
                <w:rFonts w:ascii="Arial" w:hAnsi="Arial"/>
                <w:b w:val="0"/>
                <w:i w:val="0"/>
                <w:color w:val="20282D"/>
                <w:sz w:val="21"/>
              </w:rPr>
              <w:t>Exemple : 'Le 18 août, une ouverture linéaire est visible dans l'enduit intérieur au droit de la jonction figurée sur le plan simplifié. Sa partie haute n'est pas accessible depuis le sol. La visite unique ne permet pas d'établir une évolution.'</w:t>
            </w:r>
          </w:p>
        </w:tc>
      </w:tr>
    </w:tbl>
    <w:p>
      <w:pPr>
        <w:spacing w:after="20"/>
      </w:pPr>
    </w:p>
    <w:p>
      <w:pPr>
        <w:pStyle w:val="Heading2"/>
      </w:pPr>
      <w:r>
        <w:t>Pourquoi cette réponse tient</w:t>
      </w:r>
    </w:p>
    <w:p>
      <w:pPr>
        <w:pStyle w:val="ListBullet"/>
      </w:pPr>
      <w:r>
        <w:rPr>
          <w:rFonts w:ascii="Arial" w:hAnsi="Arial"/>
          <w:b w:val="0"/>
          <w:i w:val="0"/>
          <w:color w:val="20282D"/>
          <w:sz w:val="21"/>
        </w:rPr>
        <w:t>Elle revient à un point de mission identifiable.</w:t>
      </w:r>
    </w:p>
    <w:p>
      <w:pPr>
        <w:pStyle w:val="ListBullet"/>
      </w:pPr>
      <w:r>
        <w:rPr>
          <w:rFonts w:ascii="Arial" w:hAnsi="Arial"/>
          <w:b w:val="0"/>
          <w:i w:val="0"/>
          <w:color w:val="20282D"/>
          <w:sz w:val="21"/>
        </w:rPr>
        <w:t>Elle distingue pièce, constat, déclaration et inférence.</w:t>
      </w:r>
    </w:p>
    <w:p>
      <w:pPr>
        <w:pStyle w:val="ListBullet"/>
      </w:pPr>
      <w:r>
        <w:rPr>
          <w:rFonts w:ascii="Arial" w:hAnsi="Arial"/>
          <w:b w:val="0"/>
          <w:i w:val="0"/>
          <w:color w:val="20282D"/>
          <w:sz w:val="21"/>
        </w:rPr>
        <w:t>Elle conserve une limite ou une alternative significative.</w:t>
      </w:r>
    </w:p>
    <w:p>
      <w:pPr>
        <w:pStyle w:val="ListBullet"/>
      </w:pPr>
      <w:r>
        <w:rPr>
          <w:rFonts w:ascii="Arial" w:hAnsi="Arial"/>
          <w:b w:val="0"/>
          <w:i w:val="0"/>
          <w:color w:val="20282D"/>
          <w:sz w:val="21"/>
        </w:rPr>
        <w:t>Elle ne transforme pas l'avis technique en appréciation juridique.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7F3EA"/>
            <w:tcMar>
              <w:top w:w="130" w:type="dxa"/>
              <w:start w:w="170" w:type="dxa"/>
              <w:bottom w:w="130" w:type="dxa"/>
              <w:end w:w="170" w:type="dxa"/>
            </w:tcMar>
            <w:vAlign w:val="center"/>
          </w:tcPr>
          <w:p>
            <w:pPr>
              <w:spacing w:after="0"/>
            </w:pPr>
            <w:r>
              <w:rPr>
                <w:rFonts w:ascii="Arial" w:hAnsi="Arial"/>
                <w:b/>
                <w:i w:val="0"/>
                <w:color w:val="994A28"/>
                <w:sz w:val="21"/>
              </w:rPr>
              <w:t xml:space="preserve">Vigilance — </w:t>
            </w:r>
            <w:r>
              <w:rPr>
                <w:rFonts w:ascii="Arial" w:hAnsi="Arial"/>
                <w:b w:val="0"/>
                <w:i w:val="0"/>
                <w:color w:val="20282D"/>
                <w:sz w:val="21"/>
              </w:rPr>
              <w:t>La gravité, le mouvement et l'état des supports ne sont pas déduits de la seule finition visible.</w:t>
            </w:r>
          </w:p>
        </w:tc>
      </w:tr>
    </w:tbl>
    <w:p>
      <w:pPr>
        <w:spacing w:after="20"/>
      </w:pPr>
    </w:p>
    <w:p>
      <w:pPr>
        <w:pStyle w:val="Heading2"/>
      </w:pPr>
      <w:r>
        <w:t>Auto-contrôle</w:t>
      </w:r>
    </w:p>
    <w:p>
      <w:r>
        <w:rPr>
          <w:rFonts w:ascii="Arial" w:hAnsi="Arial"/>
          <w:b w:val="0"/>
          <w:i w:val="0"/>
          <w:color w:val="20282D"/>
          <w:sz w:val="21"/>
        </w:rPr>
        <w:t>Réécrivez votre réponse si un lecteur ne peut pas retrouver la pièce, comprendre l'inférence ou savoir ce qui manque.</w:t>
      </w:r>
    </w:p>
    <w:p>
      <w:r>
        <w:br w:type="page"/>
      </w:r>
    </w:p>
    <w:p>
      <w:pPr>
        <w:pStyle w:val="Heading1"/>
      </w:pPr>
      <w:r>
        <w:t>Correction 5 - Chronologie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EF"/>
            <w:tcMar>
              <w:top w:w="130" w:type="dxa"/>
              <w:start w:w="170" w:type="dxa"/>
              <w:bottom w:w="130" w:type="dxa"/>
              <w:end w:w="170" w:type="dxa"/>
            </w:tcMar>
            <w:vAlign w:val="center"/>
          </w:tcPr>
          <w:p>
            <w:pPr>
              <w:spacing w:after="0"/>
            </w:pPr>
            <w:r>
              <w:rPr>
                <w:rFonts w:ascii="Arial" w:hAnsi="Arial"/>
                <w:b/>
                <w:i w:val="0"/>
                <w:color w:val="994A28"/>
                <w:sz w:val="21"/>
              </w:rPr>
              <w:t xml:space="preserve">Réponse indicative — </w:t>
            </w:r>
            <w:r>
              <w:rPr>
                <w:rFonts w:ascii="Arial" w:hAnsi="Arial"/>
                <w:b w:val="0"/>
                <w:i w:val="0"/>
                <w:color w:val="20282D"/>
                <w:sz w:val="21"/>
              </w:rPr>
              <w:t>Une photographie dont la date vient uniquement du nom de fichier est un document à date incertaine. La première apparition racontée par l'occupant reste une déclaration. Deux absences utiles : aucune vue comparable avant reprise et zone exacte de reprise non documentée.</w:t>
            </w:r>
          </w:p>
        </w:tc>
      </w:tr>
    </w:tbl>
    <w:p>
      <w:pPr>
        <w:spacing w:after="20"/>
      </w:pPr>
    </w:p>
    <w:p>
      <w:pPr>
        <w:pStyle w:val="Heading2"/>
      </w:pPr>
      <w:r>
        <w:t>Pourquoi cette réponse tient</w:t>
      </w:r>
    </w:p>
    <w:p>
      <w:pPr>
        <w:pStyle w:val="ListBullet"/>
      </w:pPr>
      <w:r>
        <w:rPr>
          <w:rFonts w:ascii="Arial" w:hAnsi="Arial"/>
          <w:b w:val="0"/>
          <w:i w:val="0"/>
          <w:color w:val="20282D"/>
          <w:sz w:val="21"/>
        </w:rPr>
        <w:t>Elle revient à un point de mission identifiable.</w:t>
      </w:r>
    </w:p>
    <w:p>
      <w:pPr>
        <w:pStyle w:val="ListBullet"/>
      </w:pPr>
      <w:r>
        <w:rPr>
          <w:rFonts w:ascii="Arial" w:hAnsi="Arial"/>
          <w:b w:val="0"/>
          <w:i w:val="0"/>
          <w:color w:val="20282D"/>
          <w:sz w:val="21"/>
        </w:rPr>
        <w:t>Elle distingue pièce, constat, déclaration et inférence.</w:t>
      </w:r>
    </w:p>
    <w:p>
      <w:pPr>
        <w:pStyle w:val="ListBullet"/>
      </w:pPr>
      <w:r>
        <w:rPr>
          <w:rFonts w:ascii="Arial" w:hAnsi="Arial"/>
          <w:b w:val="0"/>
          <w:i w:val="0"/>
          <w:color w:val="20282D"/>
          <w:sz w:val="21"/>
        </w:rPr>
        <w:t>Elle conserve une limite ou une alternative significative.</w:t>
      </w:r>
    </w:p>
    <w:p>
      <w:pPr>
        <w:pStyle w:val="ListBullet"/>
      </w:pPr>
      <w:r>
        <w:rPr>
          <w:rFonts w:ascii="Arial" w:hAnsi="Arial"/>
          <w:b w:val="0"/>
          <w:i w:val="0"/>
          <w:color w:val="20282D"/>
          <w:sz w:val="21"/>
        </w:rPr>
        <w:t>Elle ne transforme pas l'avis technique en appréciation juridique.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7F3EA"/>
            <w:tcMar>
              <w:top w:w="130" w:type="dxa"/>
              <w:start w:w="170" w:type="dxa"/>
              <w:bottom w:w="130" w:type="dxa"/>
              <w:end w:w="170" w:type="dxa"/>
            </w:tcMar>
            <w:vAlign w:val="center"/>
          </w:tcPr>
          <w:p>
            <w:pPr>
              <w:spacing w:after="0"/>
            </w:pPr>
            <w:r>
              <w:rPr>
                <w:rFonts w:ascii="Arial" w:hAnsi="Arial"/>
                <w:b/>
                <w:i w:val="0"/>
                <w:color w:val="994A28"/>
                <w:sz w:val="21"/>
              </w:rPr>
              <w:t xml:space="preserve">Vigilance — </w:t>
            </w:r>
            <w:r>
              <w:rPr>
                <w:rFonts w:ascii="Arial" w:hAnsi="Arial"/>
                <w:b w:val="0"/>
                <w:i w:val="0"/>
                <w:color w:val="20282D"/>
                <w:sz w:val="21"/>
              </w:rPr>
              <w:t>'Après' situe un ordre ; cela ne démontre pas 'à cause de'.</w:t>
            </w:r>
          </w:p>
        </w:tc>
      </w:tr>
    </w:tbl>
    <w:p>
      <w:pPr>
        <w:spacing w:after="20"/>
      </w:pPr>
    </w:p>
    <w:p>
      <w:pPr>
        <w:pStyle w:val="Heading2"/>
      </w:pPr>
      <w:r>
        <w:t>Auto-contrôle</w:t>
      </w:r>
    </w:p>
    <w:p>
      <w:r>
        <w:rPr>
          <w:rFonts w:ascii="Arial" w:hAnsi="Arial"/>
          <w:b w:val="0"/>
          <w:i w:val="0"/>
          <w:color w:val="20282D"/>
          <w:sz w:val="21"/>
        </w:rPr>
        <w:t>Réécrivez votre réponse si un lecteur ne peut pas retrouver la pièce, comprendre l'inférence ou savoir ce qui manque.</w:t>
      </w:r>
    </w:p>
    <w:p>
      <w:r>
        <w:br w:type="page"/>
      </w:r>
    </w:p>
    <w:p>
      <w:pPr>
        <w:pStyle w:val="Heading1"/>
      </w:pPr>
      <w:r>
        <w:t>Correction 6 - Hypothèses</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EF"/>
            <w:tcMar>
              <w:top w:w="130" w:type="dxa"/>
              <w:start w:w="170" w:type="dxa"/>
              <w:bottom w:w="130" w:type="dxa"/>
              <w:end w:w="170" w:type="dxa"/>
            </w:tcMar>
            <w:vAlign w:val="center"/>
          </w:tcPr>
          <w:p>
            <w:pPr>
              <w:spacing w:after="0"/>
            </w:pPr>
            <w:r>
              <w:rPr>
                <w:rFonts w:ascii="Arial" w:hAnsi="Arial"/>
                <w:b/>
                <w:i w:val="0"/>
                <w:color w:val="994A28"/>
                <w:sz w:val="21"/>
              </w:rPr>
              <w:t xml:space="preserve">Réponse indicative — </w:t>
            </w:r>
            <w:r>
              <w:rPr>
                <w:rFonts w:ascii="Arial" w:hAnsi="Arial"/>
                <w:b w:val="0"/>
                <w:i w:val="0"/>
                <w:color w:val="20282D"/>
                <w:sz w:val="21"/>
              </w:rPr>
              <w:t>Pour l'auréole : interface extérieure, réseau intérieur et trace ancienne. Chaque branche prévoit ce qui devrait être visible, puis un élément de rupture. Le plan partiel peut fragiliser faiblement la branche réseau, mais il ne suffit pas à l'exclure.</w:t>
            </w:r>
          </w:p>
        </w:tc>
      </w:tr>
    </w:tbl>
    <w:p>
      <w:pPr>
        <w:spacing w:after="20"/>
      </w:pPr>
    </w:p>
    <w:p>
      <w:pPr>
        <w:pStyle w:val="Heading2"/>
      </w:pPr>
      <w:r>
        <w:t>Pourquoi cette réponse tient</w:t>
      </w:r>
    </w:p>
    <w:p>
      <w:pPr>
        <w:pStyle w:val="ListBullet"/>
      </w:pPr>
      <w:r>
        <w:rPr>
          <w:rFonts w:ascii="Arial" w:hAnsi="Arial"/>
          <w:b w:val="0"/>
          <w:i w:val="0"/>
          <w:color w:val="20282D"/>
          <w:sz w:val="21"/>
        </w:rPr>
        <w:t>Elle revient à un point de mission identifiable.</w:t>
      </w:r>
    </w:p>
    <w:p>
      <w:pPr>
        <w:pStyle w:val="ListBullet"/>
      </w:pPr>
      <w:r>
        <w:rPr>
          <w:rFonts w:ascii="Arial" w:hAnsi="Arial"/>
          <w:b w:val="0"/>
          <w:i w:val="0"/>
          <w:color w:val="20282D"/>
          <w:sz w:val="21"/>
        </w:rPr>
        <w:t>Elle distingue pièce, constat, déclaration et inférence.</w:t>
      </w:r>
    </w:p>
    <w:p>
      <w:pPr>
        <w:pStyle w:val="ListBullet"/>
      </w:pPr>
      <w:r>
        <w:rPr>
          <w:rFonts w:ascii="Arial" w:hAnsi="Arial"/>
          <w:b w:val="0"/>
          <w:i w:val="0"/>
          <w:color w:val="20282D"/>
          <w:sz w:val="21"/>
        </w:rPr>
        <w:t>Elle conserve une limite ou une alternative significative.</w:t>
      </w:r>
    </w:p>
    <w:p>
      <w:pPr>
        <w:pStyle w:val="ListBullet"/>
      </w:pPr>
      <w:r>
        <w:rPr>
          <w:rFonts w:ascii="Arial" w:hAnsi="Arial"/>
          <w:b w:val="0"/>
          <w:i w:val="0"/>
          <w:color w:val="20282D"/>
          <w:sz w:val="21"/>
        </w:rPr>
        <w:t>Elle ne transforme pas l'avis technique en appréciation juridique.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7F3EA"/>
            <w:tcMar>
              <w:top w:w="130" w:type="dxa"/>
              <w:start w:w="170" w:type="dxa"/>
              <w:bottom w:w="130" w:type="dxa"/>
              <w:end w:w="170" w:type="dxa"/>
            </w:tcMar>
            <w:vAlign w:val="center"/>
          </w:tcPr>
          <w:p>
            <w:pPr>
              <w:spacing w:after="0"/>
            </w:pPr>
            <w:r>
              <w:rPr>
                <w:rFonts w:ascii="Arial" w:hAnsi="Arial"/>
                <w:b/>
                <w:i w:val="0"/>
                <w:color w:val="994A28"/>
                <w:sz w:val="21"/>
              </w:rPr>
              <w:t xml:space="preserve">Vigilance — </w:t>
            </w:r>
            <w:r>
              <w:rPr>
                <w:rFonts w:ascii="Arial" w:hAnsi="Arial"/>
                <w:b w:val="0"/>
                <w:i w:val="0"/>
                <w:color w:val="20282D"/>
                <w:sz w:val="21"/>
              </w:rPr>
              <w:t>Une alternative loyale est décrite avec ses meilleurs éléments, pas avec une version caricaturale.</w:t>
            </w:r>
          </w:p>
        </w:tc>
      </w:tr>
    </w:tbl>
    <w:p>
      <w:pPr>
        <w:spacing w:after="20"/>
      </w:pPr>
    </w:p>
    <w:p>
      <w:pPr>
        <w:pStyle w:val="Heading2"/>
      </w:pPr>
      <w:r>
        <w:t>Auto-contrôle</w:t>
      </w:r>
    </w:p>
    <w:p>
      <w:r>
        <w:rPr>
          <w:rFonts w:ascii="Arial" w:hAnsi="Arial"/>
          <w:b w:val="0"/>
          <w:i w:val="0"/>
          <w:color w:val="20282D"/>
          <w:sz w:val="21"/>
        </w:rPr>
        <w:t>Réécrivez votre réponse si un lecteur ne peut pas retrouver la pièce, comprendre l'inférence ou savoir ce qui manque.</w:t>
      </w:r>
    </w:p>
    <w:p>
      <w:r>
        <w:br w:type="page"/>
      </w:r>
    </w:p>
    <w:p>
      <w:pPr>
        <w:pStyle w:val="Heading1"/>
      </w:pPr>
      <w:r>
        <w:t>Correction 7 - Matrice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EF"/>
            <w:tcMar>
              <w:top w:w="130" w:type="dxa"/>
              <w:start w:w="170" w:type="dxa"/>
              <w:bottom w:w="130" w:type="dxa"/>
              <w:end w:w="170" w:type="dxa"/>
            </w:tcMar>
            <w:vAlign w:val="center"/>
          </w:tcPr>
          <w:p>
            <w:pPr>
              <w:spacing w:after="0"/>
            </w:pPr>
            <w:r>
              <w:rPr>
                <w:rFonts w:ascii="Arial" w:hAnsi="Arial"/>
                <w:b/>
                <w:i w:val="0"/>
                <w:color w:val="994A28"/>
                <w:sz w:val="21"/>
              </w:rPr>
              <w:t xml:space="preserve">Réponse indicative — </w:t>
            </w:r>
            <w:r>
              <w:rPr>
                <w:rFonts w:ascii="Arial" w:hAnsi="Arial"/>
                <w:b w:val="0"/>
                <w:i w:val="0"/>
                <w:color w:val="20282D"/>
                <w:sz w:val="21"/>
              </w:rPr>
              <w:t>L'apparition après certaines pluies est favorable mais indirecte à l'hypothèse extérieure ; elle reste neutre pour un réseau non documenté et peut fragiliser une trace stable si l'évolution est réelle. Sa limite commune est l'absence de dates comparables.</w:t>
            </w:r>
          </w:p>
        </w:tc>
      </w:tr>
    </w:tbl>
    <w:p>
      <w:pPr>
        <w:spacing w:after="20"/>
      </w:pPr>
    </w:p>
    <w:p>
      <w:pPr>
        <w:pStyle w:val="Heading2"/>
      </w:pPr>
      <w:r>
        <w:t>Pourquoi cette réponse tient</w:t>
      </w:r>
    </w:p>
    <w:p>
      <w:pPr>
        <w:pStyle w:val="ListBullet"/>
      </w:pPr>
      <w:r>
        <w:rPr>
          <w:rFonts w:ascii="Arial" w:hAnsi="Arial"/>
          <w:b w:val="0"/>
          <w:i w:val="0"/>
          <w:color w:val="20282D"/>
          <w:sz w:val="21"/>
        </w:rPr>
        <w:t>Elle revient à un point de mission identifiable.</w:t>
      </w:r>
    </w:p>
    <w:p>
      <w:pPr>
        <w:pStyle w:val="ListBullet"/>
      </w:pPr>
      <w:r>
        <w:rPr>
          <w:rFonts w:ascii="Arial" w:hAnsi="Arial"/>
          <w:b w:val="0"/>
          <w:i w:val="0"/>
          <w:color w:val="20282D"/>
          <w:sz w:val="21"/>
        </w:rPr>
        <w:t>Elle distingue pièce, constat, déclaration et inférence.</w:t>
      </w:r>
    </w:p>
    <w:p>
      <w:pPr>
        <w:pStyle w:val="ListBullet"/>
      </w:pPr>
      <w:r>
        <w:rPr>
          <w:rFonts w:ascii="Arial" w:hAnsi="Arial"/>
          <w:b w:val="0"/>
          <w:i w:val="0"/>
          <w:color w:val="20282D"/>
          <w:sz w:val="21"/>
        </w:rPr>
        <w:t>Elle conserve une limite ou une alternative significative.</w:t>
      </w:r>
    </w:p>
    <w:p>
      <w:pPr>
        <w:pStyle w:val="ListBullet"/>
      </w:pPr>
      <w:r>
        <w:rPr>
          <w:rFonts w:ascii="Arial" w:hAnsi="Arial"/>
          <w:b w:val="0"/>
          <w:i w:val="0"/>
          <w:color w:val="20282D"/>
          <w:sz w:val="21"/>
        </w:rPr>
        <w:t>Elle ne transforme pas l'avis technique en appréciation juridique.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7F3EA"/>
            <w:tcMar>
              <w:top w:w="130" w:type="dxa"/>
              <w:start w:w="170" w:type="dxa"/>
              <w:bottom w:w="130" w:type="dxa"/>
              <w:end w:w="170" w:type="dxa"/>
            </w:tcMar>
            <w:vAlign w:val="center"/>
          </w:tcPr>
          <w:p>
            <w:pPr>
              <w:spacing w:after="0"/>
            </w:pPr>
            <w:r>
              <w:rPr>
                <w:rFonts w:ascii="Arial" w:hAnsi="Arial"/>
                <w:b/>
                <w:i w:val="0"/>
                <w:color w:val="994A28"/>
                <w:sz w:val="21"/>
              </w:rPr>
              <w:t xml:space="preserve">Vigilance — </w:t>
            </w:r>
            <w:r>
              <w:rPr>
                <w:rFonts w:ascii="Arial" w:hAnsi="Arial"/>
                <w:b w:val="0"/>
                <w:i w:val="0"/>
                <w:color w:val="20282D"/>
                <w:sz w:val="21"/>
              </w:rPr>
              <w:t>La justification doit préciser ce que l'élément ne suffit pas à démontrer.</w:t>
            </w:r>
          </w:p>
        </w:tc>
      </w:tr>
    </w:tbl>
    <w:p>
      <w:pPr>
        <w:spacing w:after="20"/>
      </w:pPr>
    </w:p>
    <w:p>
      <w:pPr>
        <w:pStyle w:val="Heading2"/>
      </w:pPr>
      <w:r>
        <w:t>Auto-contrôle</w:t>
      </w:r>
    </w:p>
    <w:p>
      <w:r>
        <w:rPr>
          <w:rFonts w:ascii="Arial" w:hAnsi="Arial"/>
          <w:b w:val="0"/>
          <w:i w:val="0"/>
          <w:color w:val="20282D"/>
          <w:sz w:val="21"/>
        </w:rPr>
        <w:t>Réécrivez votre réponse si un lecteur ne peut pas retrouver la pièce, comprendre l'inférence ou savoir ce qui manque.</w:t>
      </w:r>
    </w:p>
    <w:p>
      <w:r>
        <w:br w:type="page"/>
      </w:r>
    </w:p>
    <w:p>
      <w:pPr>
        <w:pStyle w:val="Heading1"/>
      </w:pPr>
      <w:r>
        <w:t>Correction 8 - Investigation</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EF"/>
            <w:tcMar>
              <w:top w:w="130" w:type="dxa"/>
              <w:start w:w="170" w:type="dxa"/>
              <w:bottom w:w="130" w:type="dxa"/>
              <w:end w:w="170" w:type="dxa"/>
            </w:tcMar>
            <w:vAlign w:val="center"/>
          </w:tcPr>
          <w:p>
            <w:pPr>
              <w:spacing w:after="0"/>
            </w:pPr>
            <w:r>
              <w:rPr>
                <w:rFonts w:ascii="Arial" w:hAnsi="Arial"/>
                <w:b/>
                <w:i w:val="0"/>
                <w:color w:val="994A28"/>
                <w:sz w:val="21"/>
              </w:rPr>
              <w:t xml:space="preserve">Réponse indicative — </w:t>
            </w:r>
            <w:r>
              <w:rPr>
                <w:rFonts w:ascii="Arial" w:hAnsi="Arial"/>
                <w:b w:val="0"/>
                <w:i w:val="0"/>
                <w:color w:val="20282D"/>
                <w:sz w:val="21"/>
              </w:rPr>
              <w:t>Le plan complet des réseaux peut départager une branche si sa version et sa relation à l'exécution sont établies. Une visite pendant des conditions pertinentes peut comparer l'état. Une ouverture sans autorisation est écartée, même si elle paraît techniquement informative.</w:t>
            </w:r>
          </w:p>
        </w:tc>
      </w:tr>
    </w:tbl>
    <w:p>
      <w:pPr>
        <w:spacing w:after="20"/>
      </w:pPr>
    </w:p>
    <w:p>
      <w:pPr>
        <w:pStyle w:val="Heading2"/>
      </w:pPr>
      <w:r>
        <w:t>Pourquoi cette réponse tient</w:t>
      </w:r>
    </w:p>
    <w:p>
      <w:pPr>
        <w:pStyle w:val="ListBullet"/>
      </w:pPr>
      <w:r>
        <w:rPr>
          <w:rFonts w:ascii="Arial" w:hAnsi="Arial"/>
          <w:b w:val="0"/>
          <w:i w:val="0"/>
          <w:color w:val="20282D"/>
          <w:sz w:val="21"/>
        </w:rPr>
        <w:t>Elle revient à un point de mission identifiable.</w:t>
      </w:r>
    </w:p>
    <w:p>
      <w:pPr>
        <w:pStyle w:val="ListBullet"/>
      </w:pPr>
      <w:r>
        <w:rPr>
          <w:rFonts w:ascii="Arial" w:hAnsi="Arial"/>
          <w:b w:val="0"/>
          <w:i w:val="0"/>
          <w:color w:val="20282D"/>
          <w:sz w:val="21"/>
        </w:rPr>
        <w:t>Elle distingue pièce, constat, déclaration et inférence.</w:t>
      </w:r>
    </w:p>
    <w:p>
      <w:pPr>
        <w:pStyle w:val="ListBullet"/>
      </w:pPr>
      <w:r>
        <w:rPr>
          <w:rFonts w:ascii="Arial" w:hAnsi="Arial"/>
          <w:b w:val="0"/>
          <w:i w:val="0"/>
          <w:color w:val="20282D"/>
          <w:sz w:val="21"/>
        </w:rPr>
        <w:t>Elle conserve une limite ou une alternative significative.</w:t>
      </w:r>
    </w:p>
    <w:p>
      <w:pPr>
        <w:pStyle w:val="ListBullet"/>
      </w:pPr>
      <w:r>
        <w:rPr>
          <w:rFonts w:ascii="Arial" w:hAnsi="Arial"/>
          <w:b w:val="0"/>
          <w:i w:val="0"/>
          <w:color w:val="20282D"/>
          <w:sz w:val="21"/>
        </w:rPr>
        <w:t>Elle ne transforme pas l'avis technique en appréciation juridique.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7F3EA"/>
            <w:tcMar>
              <w:top w:w="130" w:type="dxa"/>
              <w:start w:w="170" w:type="dxa"/>
              <w:bottom w:w="130" w:type="dxa"/>
              <w:end w:w="170" w:type="dxa"/>
            </w:tcMar>
            <w:vAlign w:val="center"/>
          </w:tcPr>
          <w:p>
            <w:pPr>
              <w:spacing w:after="0"/>
            </w:pPr>
            <w:r>
              <w:rPr>
                <w:rFonts w:ascii="Arial" w:hAnsi="Arial"/>
                <w:b/>
                <w:i w:val="0"/>
                <w:color w:val="994A28"/>
                <w:sz w:val="21"/>
              </w:rPr>
              <w:t xml:space="preserve">Vigilance — </w:t>
            </w:r>
            <w:r>
              <w:rPr>
                <w:rFonts w:ascii="Arial" w:hAnsi="Arial"/>
                <w:b w:val="0"/>
                <w:i w:val="0"/>
                <w:color w:val="20282D"/>
                <w:sz w:val="21"/>
              </w:rPr>
              <w:t>Le meilleur outil est celui dont plusieurs résultats possibles ont un effet connu sur la décision.</w:t>
            </w:r>
          </w:p>
        </w:tc>
      </w:tr>
    </w:tbl>
    <w:p>
      <w:pPr>
        <w:spacing w:after="20"/>
      </w:pPr>
    </w:p>
    <w:p>
      <w:pPr>
        <w:pStyle w:val="Heading2"/>
      </w:pPr>
      <w:r>
        <w:t>Auto-contrôle</w:t>
      </w:r>
    </w:p>
    <w:p>
      <w:r>
        <w:rPr>
          <w:rFonts w:ascii="Arial" w:hAnsi="Arial"/>
          <w:b w:val="0"/>
          <w:i w:val="0"/>
          <w:color w:val="20282D"/>
          <w:sz w:val="21"/>
        </w:rPr>
        <w:t>Réécrivez votre réponse si un lecteur ne peut pas retrouver la pièce, comprendre l'inférence ou savoir ce qui manque.</w:t>
      </w:r>
    </w:p>
    <w:p>
      <w:r>
        <w:br w:type="page"/>
      </w:r>
    </w:p>
    <w:p>
      <w:pPr>
        <w:pStyle w:val="Heading1"/>
      </w:pPr>
      <w:r>
        <w:t>Correction 9 - Architecture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EF"/>
            <w:tcMar>
              <w:top w:w="130" w:type="dxa"/>
              <w:start w:w="170" w:type="dxa"/>
              <w:bottom w:w="130" w:type="dxa"/>
              <w:end w:w="170" w:type="dxa"/>
            </w:tcMar>
            <w:vAlign w:val="center"/>
          </w:tcPr>
          <w:p>
            <w:pPr>
              <w:spacing w:after="0"/>
            </w:pPr>
            <w:r>
              <w:rPr>
                <w:rFonts w:ascii="Arial" w:hAnsi="Arial"/>
                <w:b/>
                <w:i w:val="0"/>
                <w:color w:val="994A28"/>
                <w:sz w:val="21"/>
              </w:rPr>
              <w:t xml:space="preserve">Réponse indicative — </w:t>
            </w:r>
            <w:r>
              <w:rPr>
                <w:rFonts w:ascii="Arial" w:hAnsi="Arial"/>
                <w:b w:val="0"/>
                <w:i w:val="0"/>
                <w:color w:val="20282D"/>
                <w:sz w:val="21"/>
              </w:rPr>
              <w:t>Le lecteur rapide trouve mission, limites, réponses et suites. Le lecteur de vérification remonte depuis chaque conclusion vers l'analyse, la chronologie, les constats et le bordereau. Une annexe sans renvoi ne ferme pas ce trajet.</w:t>
            </w:r>
          </w:p>
        </w:tc>
      </w:tr>
    </w:tbl>
    <w:p>
      <w:pPr>
        <w:spacing w:after="20"/>
      </w:pPr>
    </w:p>
    <w:p>
      <w:pPr>
        <w:pStyle w:val="Heading2"/>
      </w:pPr>
      <w:r>
        <w:t>Pourquoi cette réponse tient</w:t>
      </w:r>
    </w:p>
    <w:p>
      <w:pPr>
        <w:pStyle w:val="ListBullet"/>
      </w:pPr>
      <w:r>
        <w:rPr>
          <w:rFonts w:ascii="Arial" w:hAnsi="Arial"/>
          <w:b w:val="0"/>
          <w:i w:val="0"/>
          <w:color w:val="20282D"/>
          <w:sz w:val="21"/>
        </w:rPr>
        <w:t>Elle revient à un point de mission identifiable.</w:t>
      </w:r>
    </w:p>
    <w:p>
      <w:pPr>
        <w:pStyle w:val="ListBullet"/>
      </w:pPr>
      <w:r>
        <w:rPr>
          <w:rFonts w:ascii="Arial" w:hAnsi="Arial"/>
          <w:b w:val="0"/>
          <w:i w:val="0"/>
          <w:color w:val="20282D"/>
          <w:sz w:val="21"/>
        </w:rPr>
        <w:t>Elle distingue pièce, constat, déclaration et inférence.</w:t>
      </w:r>
    </w:p>
    <w:p>
      <w:pPr>
        <w:pStyle w:val="ListBullet"/>
      </w:pPr>
      <w:r>
        <w:rPr>
          <w:rFonts w:ascii="Arial" w:hAnsi="Arial"/>
          <w:b w:val="0"/>
          <w:i w:val="0"/>
          <w:color w:val="20282D"/>
          <w:sz w:val="21"/>
        </w:rPr>
        <w:t>Elle conserve une limite ou une alternative significative.</w:t>
      </w:r>
    </w:p>
    <w:p>
      <w:pPr>
        <w:pStyle w:val="ListBullet"/>
      </w:pPr>
      <w:r>
        <w:rPr>
          <w:rFonts w:ascii="Arial" w:hAnsi="Arial"/>
          <w:b w:val="0"/>
          <w:i w:val="0"/>
          <w:color w:val="20282D"/>
          <w:sz w:val="21"/>
        </w:rPr>
        <w:t>Elle ne transforme pas l'avis technique en appréciation juridique.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7F3EA"/>
            <w:tcMar>
              <w:top w:w="130" w:type="dxa"/>
              <w:start w:w="170" w:type="dxa"/>
              <w:bottom w:w="130" w:type="dxa"/>
              <w:end w:w="170" w:type="dxa"/>
            </w:tcMar>
            <w:vAlign w:val="center"/>
          </w:tcPr>
          <w:p>
            <w:pPr>
              <w:spacing w:after="0"/>
            </w:pPr>
            <w:r>
              <w:rPr>
                <w:rFonts w:ascii="Arial" w:hAnsi="Arial"/>
                <w:b/>
                <w:i w:val="0"/>
                <w:color w:val="994A28"/>
                <w:sz w:val="21"/>
              </w:rPr>
              <w:t xml:space="preserve">Vigilance — </w:t>
            </w:r>
            <w:r>
              <w:rPr>
                <w:rFonts w:ascii="Arial" w:hAnsi="Arial"/>
                <w:b w:val="0"/>
                <w:i w:val="0"/>
                <w:color w:val="20282D"/>
                <w:sz w:val="21"/>
              </w:rPr>
              <w:t>La page de synthèse ne peut pas renforcer le degré de certitude du corps.</w:t>
            </w:r>
          </w:p>
        </w:tc>
      </w:tr>
    </w:tbl>
    <w:p>
      <w:pPr>
        <w:spacing w:after="20"/>
      </w:pPr>
    </w:p>
    <w:p>
      <w:pPr>
        <w:pStyle w:val="Heading2"/>
      </w:pPr>
      <w:r>
        <w:t>Auto-contrôle</w:t>
      </w:r>
    </w:p>
    <w:p>
      <w:r>
        <w:rPr>
          <w:rFonts w:ascii="Arial" w:hAnsi="Arial"/>
          <w:b w:val="0"/>
          <w:i w:val="0"/>
          <w:color w:val="20282D"/>
          <w:sz w:val="21"/>
        </w:rPr>
        <w:t>Réécrivez votre réponse si un lecteur ne peut pas retrouver la pièce, comprendre l'inférence ou savoir ce qui manque.</w:t>
      </w:r>
    </w:p>
    <w:p>
      <w:r>
        <w:br w:type="page"/>
      </w:r>
    </w:p>
    <w:p>
      <w:pPr>
        <w:pStyle w:val="Heading1"/>
      </w:pPr>
      <w:r>
        <w:t>Correction 10 - Phrase experte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EF"/>
            <w:tcMar>
              <w:top w:w="130" w:type="dxa"/>
              <w:start w:w="170" w:type="dxa"/>
              <w:bottom w:w="130" w:type="dxa"/>
              <w:end w:w="170" w:type="dxa"/>
            </w:tcMar>
            <w:vAlign w:val="center"/>
          </w:tcPr>
          <w:p>
            <w:pPr>
              <w:spacing w:after="0"/>
            </w:pPr>
            <w:r>
              <w:rPr>
                <w:rFonts w:ascii="Arial" w:hAnsi="Arial"/>
                <w:b/>
                <w:i w:val="0"/>
                <w:color w:val="994A28"/>
                <w:sz w:val="21"/>
              </w:rPr>
              <w:t xml:space="preserve">Réponse indicative — </w:t>
            </w:r>
            <w:r>
              <w:rPr>
                <w:rFonts w:ascii="Arial" w:hAnsi="Arial"/>
                <w:b w:val="0"/>
                <w:i w:val="0"/>
                <w:color w:val="20282D"/>
                <w:sz w:val="21"/>
              </w:rPr>
              <w:t>Au lieu de 'le plan prouve que le réseau ne passe pas là' : 'Le plan transmis ne figure pas de réseau dans cette zone ; sa révision et sa conformité à l'exécution ne sont pas établies.' Le document, l'inférence et la limite sont séparés.</w:t>
            </w:r>
          </w:p>
        </w:tc>
      </w:tr>
    </w:tbl>
    <w:p>
      <w:pPr>
        <w:spacing w:after="20"/>
      </w:pPr>
    </w:p>
    <w:p>
      <w:pPr>
        <w:pStyle w:val="Heading2"/>
      </w:pPr>
      <w:r>
        <w:t>Pourquoi cette réponse tient</w:t>
      </w:r>
    </w:p>
    <w:p>
      <w:pPr>
        <w:pStyle w:val="ListBullet"/>
      </w:pPr>
      <w:r>
        <w:rPr>
          <w:rFonts w:ascii="Arial" w:hAnsi="Arial"/>
          <w:b w:val="0"/>
          <w:i w:val="0"/>
          <w:color w:val="20282D"/>
          <w:sz w:val="21"/>
        </w:rPr>
        <w:t>Elle revient à un point de mission identifiable.</w:t>
      </w:r>
    </w:p>
    <w:p>
      <w:pPr>
        <w:pStyle w:val="ListBullet"/>
      </w:pPr>
      <w:r>
        <w:rPr>
          <w:rFonts w:ascii="Arial" w:hAnsi="Arial"/>
          <w:b w:val="0"/>
          <w:i w:val="0"/>
          <w:color w:val="20282D"/>
          <w:sz w:val="21"/>
        </w:rPr>
        <w:t>Elle distingue pièce, constat, déclaration et inférence.</w:t>
      </w:r>
    </w:p>
    <w:p>
      <w:pPr>
        <w:pStyle w:val="ListBullet"/>
      </w:pPr>
      <w:r>
        <w:rPr>
          <w:rFonts w:ascii="Arial" w:hAnsi="Arial"/>
          <w:b w:val="0"/>
          <w:i w:val="0"/>
          <w:color w:val="20282D"/>
          <w:sz w:val="21"/>
        </w:rPr>
        <w:t>Elle conserve une limite ou une alternative significative.</w:t>
      </w:r>
    </w:p>
    <w:p>
      <w:pPr>
        <w:pStyle w:val="ListBullet"/>
      </w:pPr>
      <w:r>
        <w:rPr>
          <w:rFonts w:ascii="Arial" w:hAnsi="Arial"/>
          <w:b w:val="0"/>
          <w:i w:val="0"/>
          <w:color w:val="20282D"/>
          <w:sz w:val="21"/>
        </w:rPr>
        <w:t>Elle ne transforme pas l'avis technique en appréciation juridique.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7F3EA"/>
            <w:tcMar>
              <w:top w:w="130" w:type="dxa"/>
              <w:start w:w="170" w:type="dxa"/>
              <w:bottom w:w="130" w:type="dxa"/>
              <w:end w:w="170" w:type="dxa"/>
            </w:tcMar>
            <w:vAlign w:val="center"/>
          </w:tcPr>
          <w:p>
            <w:pPr>
              <w:spacing w:after="0"/>
            </w:pPr>
            <w:r>
              <w:rPr>
                <w:rFonts w:ascii="Arial" w:hAnsi="Arial"/>
                <w:b/>
                <w:i w:val="0"/>
                <w:color w:val="994A28"/>
                <w:sz w:val="21"/>
              </w:rPr>
              <w:t xml:space="preserve">Vigilance — </w:t>
            </w:r>
            <w:r>
              <w:rPr>
                <w:rFonts w:ascii="Arial" w:hAnsi="Arial"/>
                <w:b w:val="0"/>
                <w:i w:val="0"/>
                <w:color w:val="20282D"/>
                <w:sz w:val="21"/>
              </w:rPr>
              <w:t>Une recommandation commence par la question à résoudre, pas par la solution déjà choisie.</w:t>
            </w:r>
          </w:p>
        </w:tc>
      </w:tr>
    </w:tbl>
    <w:p>
      <w:pPr>
        <w:spacing w:after="20"/>
      </w:pPr>
    </w:p>
    <w:p>
      <w:pPr>
        <w:pStyle w:val="Heading2"/>
      </w:pPr>
      <w:r>
        <w:t>Auto-contrôle</w:t>
      </w:r>
    </w:p>
    <w:p>
      <w:r>
        <w:rPr>
          <w:rFonts w:ascii="Arial" w:hAnsi="Arial"/>
          <w:b w:val="0"/>
          <w:i w:val="0"/>
          <w:color w:val="20282D"/>
          <w:sz w:val="21"/>
        </w:rPr>
        <w:t>Réécrivez votre réponse si un lecteur ne peut pas retrouver la pièce, comprendre l'inférence ou savoir ce qui manque.</w:t>
      </w:r>
    </w:p>
    <w:p>
      <w:r>
        <w:br w:type="page"/>
      </w:r>
    </w:p>
    <w:p>
      <w:pPr>
        <w:pStyle w:val="Heading1"/>
      </w:pPr>
      <w:r>
        <w:t>Correction 11 - Observation</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EF"/>
            <w:tcMar>
              <w:top w:w="130" w:type="dxa"/>
              <w:start w:w="170" w:type="dxa"/>
              <w:bottom w:w="130" w:type="dxa"/>
              <w:end w:w="170" w:type="dxa"/>
            </w:tcMar>
            <w:vAlign w:val="center"/>
          </w:tcPr>
          <w:p>
            <w:pPr>
              <w:spacing w:after="0"/>
            </w:pPr>
            <w:r>
              <w:rPr>
                <w:rFonts w:ascii="Arial" w:hAnsi="Arial"/>
                <w:b/>
                <w:i w:val="0"/>
                <w:color w:val="994A28"/>
                <w:sz w:val="21"/>
              </w:rPr>
              <w:t xml:space="preserve">Réponse indicative — </w:t>
            </w:r>
            <w:r>
              <w:rPr>
                <w:rFonts w:ascii="Arial" w:hAnsi="Arial"/>
                <w:b w:val="0"/>
                <w:i w:val="0"/>
                <w:color w:val="20282D"/>
                <w:sz w:val="21"/>
              </w:rPr>
              <w:t>L'observation est reformulée sans jugement. Le plan est qualifié comme incomplet et non relié à l'exécution. L'hypothèse réseau est maintenue à ce stade ; le motif et la localisation de cette précision sont inscrits dans la table des suites données.</w:t>
            </w:r>
          </w:p>
        </w:tc>
      </w:tr>
    </w:tbl>
    <w:p>
      <w:pPr>
        <w:spacing w:after="20"/>
      </w:pPr>
    </w:p>
    <w:p>
      <w:pPr>
        <w:pStyle w:val="Heading2"/>
      </w:pPr>
      <w:r>
        <w:t>Pourquoi cette réponse tient</w:t>
      </w:r>
    </w:p>
    <w:p>
      <w:pPr>
        <w:pStyle w:val="ListBullet"/>
      </w:pPr>
      <w:r>
        <w:rPr>
          <w:rFonts w:ascii="Arial" w:hAnsi="Arial"/>
          <w:b w:val="0"/>
          <w:i w:val="0"/>
          <w:color w:val="20282D"/>
          <w:sz w:val="21"/>
        </w:rPr>
        <w:t>Elle revient à un point de mission identifiable.</w:t>
      </w:r>
    </w:p>
    <w:p>
      <w:pPr>
        <w:pStyle w:val="ListBullet"/>
      </w:pPr>
      <w:r>
        <w:rPr>
          <w:rFonts w:ascii="Arial" w:hAnsi="Arial"/>
          <w:b w:val="0"/>
          <w:i w:val="0"/>
          <w:color w:val="20282D"/>
          <w:sz w:val="21"/>
        </w:rPr>
        <w:t>Elle distingue pièce, constat, déclaration et inférence.</w:t>
      </w:r>
    </w:p>
    <w:p>
      <w:pPr>
        <w:pStyle w:val="ListBullet"/>
      </w:pPr>
      <w:r>
        <w:rPr>
          <w:rFonts w:ascii="Arial" w:hAnsi="Arial"/>
          <w:b w:val="0"/>
          <w:i w:val="0"/>
          <w:color w:val="20282D"/>
          <w:sz w:val="21"/>
        </w:rPr>
        <w:t>Elle conserve une limite ou une alternative significative.</w:t>
      </w:r>
    </w:p>
    <w:p>
      <w:pPr>
        <w:pStyle w:val="ListBullet"/>
      </w:pPr>
      <w:r>
        <w:rPr>
          <w:rFonts w:ascii="Arial" w:hAnsi="Arial"/>
          <w:b w:val="0"/>
          <w:i w:val="0"/>
          <w:color w:val="20282D"/>
          <w:sz w:val="21"/>
        </w:rPr>
        <w:t>Elle ne transforme pas l'avis technique en appréciation juridique.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7F3EA"/>
            <w:tcMar>
              <w:top w:w="130" w:type="dxa"/>
              <w:start w:w="170" w:type="dxa"/>
              <w:bottom w:w="130" w:type="dxa"/>
              <w:end w:w="170" w:type="dxa"/>
            </w:tcMar>
            <w:vAlign w:val="center"/>
          </w:tcPr>
          <w:p>
            <w:pPr>
              <w:spacing w:after="0"/>
            </w:pPr>
            <w:r>
              <w:rPr>
                <w:rFonts w:ascii="Arial" w:hAnsi="Arial"/>
                <w:b/>
                <w:i w:val="0"/>
                <w:color w:val="994A28"/>
                <w:sz w:val="21"/>
              </w:rPr>
              <w:t xml:space="preserve">Vigilance — </w:t>
            </w:r>
            <w:r>
              <w:rPr>
                <w:rFonts w:ascii="Arial" w:hAnsi="Arial"/>
                <w:b w:val="0"/>
                <w:i w:val="0"/>
                <w:color w:val="20282D"/>
                <w:sz w:val="21"/>
              </w:rPr>
              <w:t>Maintenir est une suite recevable seulement si son motif est contrôlable.</w:t>
            </w:r>
          </w:p>
        </w:tc>
      </w:tr>
    </w:tbl>
    <w:p>
      <w:pPr>
        <w:spacing w:after="20"/>
      </w:pPr>
    </w:p>
    <w:p>
      <w:pPr>
        <w:pStyle w:val="Heading2"/>
      </w:pPr>
      <w:r>
        <w:t>Auto-contrôle</w:t>
      </w:r>
    </w:p>
    <w:p>
      <w:r>
        <w:rPr>
          <w:rFonts w:ascii="Arial" w:hAnsi="Arial"/>
          <w:b w:val="0"/>
          <w:i w:val="0"/>
          <w:color w:val="20282D"/>
          <w:sz w:val="21"/>
        </w:rPr>
        <w:t>Réécrivez votre réponse si un lecteur ne peut pas retrouver la pièce, comprendre l'inférence ou savoir ce qui manque.</w:t>
      </w:r>
    </w:p>
    <w:p>
      <w:r>
        <w:br w:type="page"/>
      </w:r>
    </w:p>
    <w:p>
      <w:pPr>
        <w:pStyle w:val="Heading1"/>
      </w:pPr>
      <w:r>
        <w:t>Correction 12 - Lecteur adverse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EF"/>
            <w:tcMar>
              <w:top w:w="130" w:type="dxa"/>
              <w:start w:w="170" w:type="dxa"/>
              <w:bottom w:w="130" w:type="dxa"/>
              <w:end w:w="170" w:type="dxa"/>
            </w:tcMar>
            <w:vAlign w:val="center"/>
          </w:tcPr>
          <w:p>
            <w:pPr>
              <w:spacing w:after="0"/>
            </w:pPr>
            <w:r>
              <w:rPr>
                <w:rFonts w:ascii="Arial" w:hAnsi="Arial"/>
                <w:b/>
                <w:i w:val="0"/>
                <w:color w:val="994A28"/>
                <w:sz w:val="21"/>
              </w:rPr>
              <w:t xml:space="preserve">Réponse indicative — </w:t>
            </w:r>
            <w:r>
              <w:rPr>
                <w:rFonts w:ascii="Arial" w:hAnsi="Arial"/>
                <w:b w:val="0"/>
                <w:i w:val="0"/>
                <w:color w:val="20282D"/>
                <w:sz w:val="21"/>
              </w:rPr>
              <w:t>Une rupture possible : la synthèse dit 'infiltration de toiture' alors que le corps conserve trois hypothèses. Réparation : reprendre une conclusion graduée, citer les éléments convergents, la contradiction et l'investigation discriminante ; incrémenter la version.</w:t>
            </w:r>
          </w:p>
        </w:tc>
      </w:tr>
    </w:tbl>
    <w:p>
      <w:pPr>
        <w:spacing w:after="20"/>
      </w:pPr>
    </w:p>
    <w:p>
      <w:pPr>
        <w:pStyle w:val="Heading2"/>
      </w:pPr>
      <w:r>
        <w:t>Pourquoi cette réponse tient</w:t>
      </w:r>
    </w:p>
    <w:p>
      <w:pPr>
        <w:pStyle w:val="ListBullet"/>
      </w:pPr>
      <w:r>
        <w:rPr>
          <w:rFonts w:ascii="Arial" w:hAnsi="Arial"/>
          <w:b w:val="0"/>
          <w:i w:val="0"/>
          <w:color w:val="20282D"/>
          <w:sz w:val="21"/>
        </w:rPr>
        <w:t>Elle revient à un point de mission identifiable.</w:t>
      </w:r>
    </w:p>
    <w:p>
      <w:pPr>
        <w:pStyle w:val="ListBullet"/>
      </w:pPr>
      <w:r>
        <w:rPr>
          <w:rFonts w:ascii="Arial" w:hAnsi="Arial"/>
          <w:b w:val="0"/>
          <w:i w:val="0"/>
          <w:color w:val="20282D"/>
          <w:sz w:val="21"/>
        </w:rPr>
        <w:t>Elle distingue pièce, constat, déclaration et inférence.</w:t>
      </w:r>
    </w:p>
    <w:p>
      <w:pPr>
        <w:pStyle w:val="ListBullet"/>
      </w:pPr>
      <w:r>
        <w:rPr>
          <w:rFonts w:ascii="Arial" w:hAnsi="Arial"/>
          <w:b w:val="0"/>
          <w:i w:val="0"/>
          <w:color w:val="20282D"/>
          <w:sz w:val="21"/>
        </w:rPr>
        <w:t>Elle conserve une limite ou une alternative significative.</w:t>
      </w:r>
    </w:p>
    <w:p>
      <w:pPr>
        <w:pStyle w:val="ListBullet"/>
      </w:pPr>
      <w:r>
        <w:rPr>
          <w:rFonts w:ascii="Arial" w:hAnsi="Arial"/>
          <w:b w:val="0"/>
          <w:i w:val="0"/>
          <w:color w:val="20282D"/>
          <w:sz w:val="21"/>
        </w:rPr>
        <w:t>Elle ne transforme pas l'avis technique en appréciation juridique.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7F3EA"/>
            <w:tcMar>
              <w:top w:w="130" w:type="dxa"/>
              <w:start w:w="170" w:type="dxa"/>
              <w:bottom w:w="130" w:type="dxa"/>
              <w:end w:w="170" w:type="dxa"/>
            </w:tcMar>
            <w:vAlign w:val="center"/>
          </w:tcPr>
          <w:p>
            <w:pPr>
              <w:spacing w:after="0"/>
            </w:pPr>
            <w:r>
              <w:rPr>
                <w:rFonts w:ascii="Arial" w:hAnsi="Arial"/>
                <w:b/>
                <w:i w:val="0"/>
                <w:color w:val="994A28"/>
                <w:sz w:val="21"/>
              </w:rPr>
              <w:t xml:space="preserve">Vigilance — </w:t>
            </w:r>
            <w:r>
              <w:rPr>
                <w:rFonts w:ascii="Arial" w:hAnsi="Arial"/>
                <w:b w:val="0"/>
                <w:i w:val="0"/>
                <w:color w:val="20282D"/>
                <w:sz w:val="21"/>
              </w:rPr>
              <w:t>Le contrôle des données supprime aussi toute information personnelle sans finalité démontrée.</w:t>
            </w:r>
          </w:p>
        </w:tc>
      </w:tr>
    </w:tbl>
    <w:p>
      <w:pPr>
        <w:spacing w:after="20"/>
      </w:pPr>
    </w:p>
    <w:p>
      <w:pPr>
        <w:pStyle w:val="Heading2"/>
      </w:pPr>
      <w:r>
        <w:t>Auto-contrôle</w:t>
      </w:r>
    </w:p>
    <w:p>
      <w:r>
        <w:rPr>
          <w:rFonts w:ascii="Arial" w:hAnsi="Arial"/>
          <w:b w:val="0"/>
          <w:i w:val="0"/>
          <w:color w:val="20282D"/>
          <w:sz w:val="21"/>
        </w:rPr>
        <w:t>Réécrivez votre réponse si un lecteur ne peut pas retrouver la pièce, comprendre l'inférence ou savoir ce qui manque.</w:t>
      </w:r>
    </w:p>
    <w:p>
      <w:r>
        <w:br w:type="page"/>
      </w:r>
    </w:p>
    <w:p>
      <w:pPr>
        <w:pStyle w:val="Heading1"/>
      </w:pPr>
      <w:r>
        <w:t>Correction 13A - Contrat et bordereau</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EF"/>
            <w:tcMar>
              <w:top w:w="130" w:type="dxa"/>
              <w:start w:w="170" w:type="dxa"/>
              <w:bottom w:w="130" w:type="dxa"/>
              <w:end w:w="170" w:type="dxa"/>
            </w:tcMar>
            <w:vAlign w:val="center"/>
          </w:tcPr>
          <w:p>
            <w:pPr>
              <w:spacing w:after="0"/>
            </w:pPr>
            <w:r>
              <w:rPr>
                <w:rFonts w:ascii="Arial" w:hAnsi="Arial"/>
                <w:b/>
                <w:i w:val="0"/>
                <w:color w:val="994A28"/>
                <w:sz w:val="21"/>
              </w:rPr>
              <w:t xml:space="preserve">Réponse indicative — </w:t>
            </w:r>
            <w:r>
              <w:rPr>
                <w:rFonts w:ascii="Arial" w:hAnsi="Arial"/>
                <w:b w:val="0"/>
                <w:i w:val="0"/>
                <w:color w:val="20282D"/>
                <w:sz w:val="21"/>
              </w:rPr>
              <w:t>Les trois points restent séparés : fissure accessible, mécanismes compatibles, auréole et circonstances. Le plan et la facture sont utilisés dans leur portée documentaire ; les photographies et le relevé reçoivent des statuts distincts.</w:t>
            </w:r>
          </w:p>
        </w:tc>
      </w:tr>
    </w:tbl>
    <w:p>
      <w:pPr>
        <w:spacing w:after="20"/>
      </w:pPr>
    </w:p>
    <w:p>
      <w:pPr>
        <w:pStyle w:val="Heading2"/>
      </w:pPr>
      <w:r>
        <w:t>Pourquoi cette réponse tient</w:t>
      </w:r>
    </w:p>
    <w:p>
      <w:pPr>
        <w:pStyle w:val="ListBullet"/>
      </w:pPr>
      <w:r>
        <w:rPr>
          <w:rFonts w:ascii="Arial" w:hAnsi="Arial"/>
          <w:b w:val="0"/>
          <w:i w:val="0"/>
          <w:color w:val="20282D"/>
          <w:sz w:val="21"/>
        </w:rPr>
        <w:t>Elle revient à un point de mission identifiable.</w:t>
      </w:r>
    </w:p>
    <w:p>
      <w:pPr>
        <w:pStyle w:val="ListBullet"/>
      </w:pPr>
      <w:r>
        <w:rPr>
          <w:rFonts w:ascii="Arial" w:hAnsi="Arial"/>
          <w:b w:val="0"/>
          <w:i w:val="0"/>
          <w:color w:val="20282D"/>
          <w:sz w:val="21"/>
        </w:rPr>
        <w:t>Elle distingue pièce, constat, déclaration et inférence.</w:t>
      </w:r>
    </w:p>
    <w:p>
      <w:pPr>
        <w:pStyle w:val="ListBullet"/>
      </w:pPr>
      <w:r>
        <w:rPr>
          <w:rFonts w:ascii="Arial" w:hAnsi="Arial"/>
          <w:b w:val="0"/>
          <w:i w:val="0"/>
          <w:color w:val="20282D"/>
          <w:sz w:val="21"/>
        </w:rPr>
        <w:t>Elle conserve une limite ou une alternative significative.</w:t>
      </w:r>
    </w:p>
    <w:p>
      <w:pPr>
        <w:pStyle w:val="ListBullet"/>
      </w:pPr>
      <w:r>
        <w:rPr>
          <w:rFonts w:ascii="Arial" w:hAnsi="Arial"/>
          <w:b w:val="0"/>
          <w:i w:val="0"/>
          <w:color w:val="20282D"/>
          <w:sz w:val="21"/>
        </w:rPr>
        <w:t>Elle ne transforme pas l'avis technique en appréciation juridique.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7F3EA"/>
            <w:tcMar>
              <w:top w:w="130" w:type="dxa"/>
              <w:start w:w="170" w:type="dxa"/>
              <w:bottom w:w="130" w:type="dxa"/>
              <w:end w:w="170" w:type="dxa"/>
            </w:tcMar>
            <w:vAlign w:val="center"/>
          </w:tcPr>
          <w:p>
            <w:pPr>
              <w:spacing w:after="0"/>
            </w:pPr>
            <w:r>
              <w:rPr>
                <w:rFonts w:ascii="Arial" w:hAnsi="Arial"/>
                <w:b/>
                <w:i w:val="0"/>
                <w:color w:val="994A28"/>
                <w:sz w:val="21"/>
              </w:rPr>
              <w:t xml:space="preserve">Vigilance — </w:t>
            </w:r>
            <w:r>
              <w:rPr>
                <w:rFonts w:ascii="Arial" w:hAnsi="Arial"/>
                <w:b w:val="0"/>
                <w:i w:val="0"/>
                <w:color w:val="20282D"/>
                <w:sz w:val="21"/>
              </w:rPr>
              <w:t>Une même pièce peut alimenter plusieurs points, mais son usage et sa limite sont précisés à chaque fois.</w:t>
            </w:r>
          </w:p>
        </w:tc>
      </w:tr>
    </w:tbl>
    <w:p>
      <w:pPr>
        <w:spacing w:after="20"/>
      </w:pPr>
    </w:p>
    <w:p>
      <w:pPr>
        <w:pStyle w:val="Heading2"/>
      </w:pPr>
      <w:r>
        <w:t>Auto-contrôle</w:t>
      </w:r>
    </w:p>
    <w:p>
      <w:r>
        <w:rPr>
          <w:rFonts w:ascii="Arial" w:hAnsi="Arial"/>
          <w:b w:val="0"/>
          <w:i w:val="0"/>
          <w:color w:val="20282D"/>
          <w:sz w:val="21"/>
        </w:rPr>
        <w:t>Réécrivez votre réponse si un lecteur ne peut pas retrouver la pièce, comprendre l'inférence ou savoir ce qui manque.</w:t>
      </w:r>
    </w:p>
    <w:p>
      <w:r>
        <w:br w:type="page"/>
      </w:r>
    </w:p>
    <w:p>
      <w:pPr>
        <w:pStyle w:val="Heading1"/>
      </w:pPr>
      <w:r>
        <w:t>Correction 13B - Chronologie et matrice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EF"/>
            <w:tcMar>
              <w:top w:w="130" w:type="dxa"/>
              <w:start w:w="170" w:type="dxa"/>
              <w:bottom w:w="130" w:type="dxa"/>
              <w:end w:w="170" w:type="dxa"/>
            </w:tcMar>
            <w:vAlign w:val="center"/>
          </w:tcPr>
          <w:p>
            <w:pPr>
              <w:spacing w:after="0"/>
            </w:pPr>
            <w:r>
              <w:rPr>
                <w:rFonts w:ascii="Arial" w:hAnsi="Arial"/>
                <w:b/>
                <w:i w:val="0"/>
                <w:color w:val="994A28"/>
                <w:sz w:val="21"/>
              </w:rPr>
              <w:t xml:space="preserve">Réponse indicative — </w:t>
            </w:r>
            <w:r>
              <w:rPr>
                <w:rFonts w:ascii="Arial" w:hAnsi="Arial"/>
                <w:b w:val="0"/>
                <w:i w:val="0"/>
                <w:color w:val="20282D"/>
                <w:sz w:val="21"/>
              </w:rPr>
              <w:t>La chronologie fait apparaître travaux annoncés, première fissure déclarée, photographie à date incertaine, reprise facturée et visite datée. La matrice garde séparés les mécanismes de fissure et d'auréole, avec un test de rupture par branche.</w:t>
            </w:r>
          </w:p>
        </w:tc>
      </w:tr>
    </w:tbl>
    <w:p>
      <w:pPr>
        <w:spacing w:after="20"/>
      </w:pPr>
    </w:p>
    <w:p>
      <w:pPr>
        <w:pStyle w:val="Heading2"/>
      </w:pPr>
      <w:r>
        <w:t>Pourquoi cette réponse tient</w:t>
      </w:r>
    </w:p>
    <w:p>
      <w:pPr>
        <w:pStyle w:val="ListBullet"/>
      </w:pPr>
      <w:r>
        <w:rPr>
          <w:rFonts w:ascii="Arial" w:hAnsi="Arial"/>
          <w:b w:val="0"/>
          <w:i w:val="0"/>
          <w:color w:val="20282D"/>
          <w:sz w:val="21"/>
        </w:rPr>
        <w:t>Elle revient à un point de mission identifiable.</w:t>
      </w:r>
    </w:p>
    <w:p>
      <w:pPr>
        <w:pStyle w:val="ListBullet"/>
      </w:pPr>
      <w:r>
        <w:rPr>
          <w:rFonts w:ascii="Arial" w:hAnsi="Arial"/>
          <w:b w:val="0"/>
          <w:i w:val="0"/>
          <w:color w:val="20282D"/>
          <w:sz w:val="21"/>
        </w:rPr>
        <w:t>Elle distingue pièce, constat, déclaration et inférence.</w:t>
      </w:r>
    </w:p>
    <w:p>
      <w:pPr>
        <w:pStyle w:val="ListBullet"/>
      </w:pPr>
      <w:r>
        <w:rPr>
          <w:rFonts w:ascii="Arial" w:hAnsi="Arial"/>
          <w:b w:val="0"/>
          <w:i w:val="0"/>
          <w:color w:val="20282D"/>
          <w:sz w:val="21"/>
        </w:rPr>
        <w:t>Elle conserve une limite ou une alternative significative.</w:t>
      </w:r>
    </w:p>
    <w:p>
      <w:pPr>
        <w:pStyle w:val="ListBullet"/>
      </w:pPr>
      <w:r>
        <w:rPr>
          <w:rFonts w:ascii="Arial" w:hAnsi="Arial"/>
          <w:b w:val="0"/>
          <w:i w:val="0"/>
          <w:color w:val="20282D"/>
          <w:sz w:val="21"/>
        </w:rPr>
        <w:t>Elle ne transforme pas l'avis technique en appréciation juridique.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7F3EA"/>
            <w:tcMar>
              <w:top w:w="130" w:type="dxa"/>
              <w:start w:w="170" w:type="dxa"/>
              <w:bottom w:w="130" w:type="dxa"/>
              <w:end w:w="170" w:type="dxa"/>
            </w:tcMar>
            <w:vAlign w:val="center"/>
          </w:tcPr>
          <w:p>
            <w:pPr>
              <w:spacing w:after="0"/>
            </w:pPr>
            <w:r>
              <w:rPr>
                <w:rFonts w:ascii="Arial" w:hAnsi="Arial"/>
                <w:b/>
                <w:i w:val="0"/>
                <w:color w:val="994A28"/>
                <w:sz w:val="21"/>
              </w:rPr>
              <w:t xml:space="preserve">Vigilance — </w:t>
            </w:r>
            <w:r>
              <w:rPr>
                <w:rFonts w:ascii="Arial" w:hAnsi="Arial"/>
                <w:b w:val="0"/>
                <w:i w:val="0"/>
                <w:color w:val="20282D"/>
                <w:sz w:val="21"/>
              </w:rPr>
              <w:t>La coexistence des deux manifestations dans la maison ne prouve pas un mécanisme commun.</w:t>
            </w:r>
          </w:p>
        </w:tc>
      </w:tr>
    </w:tbl>
    <w:p>
      <w:pPr>
        <w:spacing w:after="20"/>
      </w:pPr>
    </w:p>
    <w:p>
      <w:pPr>
        <w:pStyle w:val="Heading2"/>
      </w:pPr>
      <w:r>
        <w:t>Auto-contrôle</w:t>
      </w:r>
    </w:p>
    <w:p>
      <w:r>
        <w:rPr>
          <w:rFonts w:ascii="Arial" w:hAnsi="Arial"/>
          <w:b w:val="0"/>
          <w:i w:val="0"/>
          <w:color w:val="20282D"/>
          <w:sz w:val="21"/>
        </w:rPr>
        <w:t>Réécrivez votre réponse si un lecteur ne peut pas retrouver la pièce, comprendre l'inférence ou savoir ce qui manque.</w:t>
      </w:r>
    </w:p>
    <w:p>
      <w:r>
        <w:br w:type="page"/>
      </w:r>
    </w:p>
    <w:p>
      <w:pPr>
        <w:pStyle w:val="Heading1"/>
      </w:pPr>
      <w:r>
        <w:t>Correction 13C - Conclusions bornées</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EF"/>
            <w:tcMar>
              <w:top w:w="130" w:type="dxa"/>
              <w:start w:w="170" w:type="dxa"/>
              <w:bottom w:w="130" w:type="dxa"/>
              <w:end w:w="170" w:type="dxa"/>
            </w:tcMar>
            <w:vAlign w:val="center"/>
          </w:tcPr>
          <w:p>
            <w:pPr>
              <w:spacing w:after="0"/>
            </w:pPr>
            <w:r>
              <w:rPr>
                <w:rFonts w:ascii="Arial" w:hAnsi="Arial"/>
                <w:b/>
                <w:i w:val="0"/>
                <w:color w:val="994A28"/>
                <w:sz w:val="21"/>
              </w:rPr>
              <w:t xml:space="preserve">Réponse indicative — </w:t>
            </w:r>
            <w:r>
              <w:rPr>
                <w:rFonts w:ascii="Arial" w:hAnsi="Arial"/>
                <w:b w:val="0"/>
                <w:i w:val="0"/>
                <w:color w:val="20282D"/>
                <w:sz w:val="21"/>
              </w:rPr>
              <w:t>Pour la fissure, une réponse possible établit l'ouverture dans la finition, situe le plan non daté, conserve mouvement différentiel et discontinuité locale, nomme les supports non visibles et propose une comparaison localisée avec vérification autorisée de la jonction.</w:t>
            </w:r>
          </w:p>
        </w:tc>
      </w:tr>
    </w:tbl>
    <w:p>
      <w:pPr>
        <w:spacing w:after="20"/>
      </w:pPr>
    </w:p>
    <w:p>
      <w:pPr>
        <w:pStyle w:val="Heading2"/>
      </w:pPr>
      <w:r>
        <w:t>Pourquoi cette réponse tient</w:t>
      </w:r>
    </w:p>
    <w:p>
      <w:pPr>
        <w:pStyle w:val="ListBullet"/>
      </w:pPr>
      <w:r>
        <w:rPr>
          <w:rFonts w:ascii="Arial" w:hAnsi="Arial"/>
          <w:b w:val="0"/>
          <w:i w:val="0"/>
          <w:color w:val="20282D"/>
          <w:sz w:val="21"/>
        </w:rPr>
        <w:t>Elle revient à un point de mission identifiable.</w:t>
      </w:r>
    </w:p>
    <w:p>
      <w:pPr>
        <w:pStyle w:val="ListBullet"/>
      </w:pPr>
      <w:r>
        <w:rPr>
          <w:rFonts w:ascii="Arial" w:hAnsi="Arial"/>
          <w:b w:val="0"/>
          <w:i w:val="0"/>
          <w:color w:val="20282D"/>
          <w:sz w:val="21"/>
        </w:rPr>
        <w:t>Elle distingue pièce, constat, déclaration et inférence.</w:t>
      </w:r>
    </w:p>
    <w:p>
      <w:pPr>
        <w:pStyle w:val="ListBullet"/>
      </w:pPr>
      <w:r>
        <w:rPr>
          <w:rFonts w:ascii="Arial" w:hAnsi="Arial"/>
          <w:b w:val="0"/>
          <w:i w:val="0"/>
          <w:color w:val="20282D"/>
          <w:sz w:val="21"/>
        </w:rPr>
        <w:t>Elle conserve une limite ou une alternative significative.</w:t>
      </w:r>
    </w:p>
    <w:p>
      <w:pPr>
        <w:pStyle w:val="ListBullet"/>
      </w:pPr>
      <w:r>
        <w:rPr>
          <w:rFonts w:ascii="Arial" w:hAnsi="Arial"/>
          <w:b w:val="0"/>
          <w:i w:val="0"/>
          <w:color w:val="20282D"/>
          <w:sz w:val="21"/>
        </w:rPr>
        <w:t>Elle ne transforme pas l'avis technique en appréciation juridique.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7F3EA"/>
            <w:tcMar>
              <w:top w:w="130" w:type="dxa"/>
              <w:start w:w="170" w:type="dxa"/>
              <w:bottom w:w="130" w:type="dxa"/>
              <w:end w:w="170" w:type="dxa"/>
            </w:tcMar>
            <w:vAlign w:val="center"/>
          </w:tcPr>
          <w:p>
            <w:pPr>
              <w:spacing w:after="0"/>
            </w:pPr>
            <w:r>
              <w:rPr>
                <w:rFonts w:ascii="Arial" w:hAnsi="Arial"/>
                <w:b/>
                <w:i w:val="0"/>
                <w:color w:val="994A28"/>
                <w:sz w:val="21"/>
              </w:rPr>
              <w:t xml:space="preserve">Vigilance — </w:t>
            </w:r>
            <w:r>
              <w:rPr>
                <w:rFonts w:ascii="Arial" w:hAnsi="Arial"/>
                <w:b w:val="0"/>
                <w:i w:val="0"/>
                <w:color w:val="20282D"/>
                <w:sz w:val="21"/>
              </w:rPr>
              <w:t>La conclusion sur l'auréole suit la même structure : réponse, faits, inférence, alternative, contradiction, limite, suite et frontière de mission.</w:t>
            </w:r>
          </w:p>
        </w:tc>
      </w:tr>
    </w:tbl>
    <w:p>
      <w:pPr>
        <w:spacing w:after="20"/>
      </w:pPr>
    </w:p>
    <w:p>
      <w:pPr>
        <w:pStyle w:val="Heading2"/>
      </w:pPr>
      <w:r>
        <w:t>Auto-contrôle</w:t>
      </w:r>
    </w:p>
    <w:p>
      <w:r>
        <w:rPr>
          <w:rFonts w:ascii="Arial" w:hAnsi="Arial"/>
          <w:b w:val="0"/>
          <w:i w:val="0"/>
          <w:color w:val="20282D"/>
          <w:sz w:val="21"/>
        </w:rPr>
        <w:t>Réécrivez votre réponse si un lecteur ne peut pas retrouver la pièce, comprendre l'inférence ou savoir ce qui manque.</w:t>
      </w:r>
    </w:p>
    <w:p>
      <w:r>
        <w:br w:type="page"/>
      </w:r>
    </w:p>
    <w:p>
      <w:pPr>
        <w:pStyle w:val="Heading1"/>
      </w:pPr>
      <w:r>
        <w:t>Correction 13D - Observations et oral</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EF"/>
            <w:tcMar>
              <w:top w:w="130" w:type="dxa"/>
              <w:start w:w="170" w:type="dxa"/>
              <w:bottom w:w="130" w:type="dxa"/>
              <w:end w:w="170" w:type="dxa"/>
            </w:tcMar>
            <w:vAlign w:val="center"/>
          </w:tcPr>
          <w:p>
            <w:pPr>
              <w:spacing w:after="0"/>
            </w:pPr>
            <w:r>
              <w:rPr>
                <w:rFonts w:ascii="Arial" w:hAnsi="Arial"/>
                <w:b/>
                <w:i w:val="0"/>
                <w:color w:val="994A28"/>
                <w:sz w:val="21"/>
              </w:rPr>
              <w:t xml:space="preserve">Réponse indicative — </w:t>
            </w:r>
            <w:r>
              <w:rPr>
                <w:rFonts w:ascii="Arial" w:hAnsi="Arial"/>
                <w:b w:val="0"/>
                <w:i w:val="0"/>
                <w:color w:val="20282D"/>
                <w:sz w:val="21"/>
              </w:rPr>
              <w:t>La table montre une date corrigée, une affirmation non sourcée écartée, une contradiction technique intégrée et une demande juridique maintenue hors champ. L'oral suit : mission, deux faits, deux limites, conclusion graduée, prochaine action.</w:t>
            </w:r>
          </w:p>
        </w:tc>
      </w:tr>
    </w:tbl>
    <w:p>
      <w:pPr>
        <w:spacing w:after="20"/>
      </w:pPr>
    </w:p>
    <w:p>
      <w:pPr>
        <w:pStyle w:val="Heading2"/>
      </w:pPr>
      <w:r>
        <w:t>Pourquoi cette réponse tient</w:t>
      </w:r>
    </w:p>
    <w:p>
      <w:pPr>
        <w:pStyle w:val="ListBullet"/>
      </w:pPr>
      <w:r>
        <w:rPr>
          <w:rFonts w:ascii="Arial" w:hAnsi="Arial"/>
          <w:b w:val="0"/>
          <w:i w:val="0"/>
          <w:color w:val="20282D"/>
          <w:sz w:val="21"/>
        </w:rPr>
        <w:t>Elle revient à un point de mission identifiable.</w:t>
      </w:r>
    </w:p>
    <w:p>
      <w:pPr>
        <w:pStyle w:val="ListBullet"/>
      </w:pPr>
      <w:r>
        <w:rPr>
          <w:rFonts w:ascii="Arial" w:hAnsi="Arial"/>
          <w:b w:val="0"/>
          <w:i w:val="0"/>
          <w:color w:val="20282D"/>
          <w:sz w:val="21"/>
        </w:rPr>
        <w:t>Elle distingue pièce, constat, déclaration et inférence.</w:t>
      </w:r>
    </w:p>
    <w:p>
      <w:pPr>
        <w:pStyle w:val="ListBullet"/>
      </w:pPr>
      <w:r>
        <w:rPr>
          <w:rFonts w:ascii="Arial" w:hAnsi="Arial"/>
          <w:b w:val="0"/>
          <w:i w:val="0"/>
          <w:color w:val="20282D"/>
          <w:sz w:val="21"/>
        </w:rPr>
        <w:t>Elle conserve une limite ou une alternative significative.</w:t>
      </w:r>
    </w:p>
    <w:p>
      <w:pPr>
        <w:pStyle w:val="ListBullet"/>
      </w:pPr>
      <w:r>
        <w:rPr>
          <w:rFonts w:ascii="Arial" w:hAnsi="Arial"/>
          <w:b w:val="0"/>
          <w:i w:val="0"/>
          <w:color w:val="20282D"/>
          <w:sz w:val="21"/>
        </w:rPr>
        <w:t>Elle ne transforme pas l'avis technique en appréciation juridique.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7F3EA"/>
            <w:tcMar>
              <w:top w:w="130" w:type="dxa"/>
              <w:start w:w="170" w:type="dxa"/>
              <w:bottom w:w="130" w:type="dxa"/>
              <w:end w:w="170" w:type="dxa"/>
            </w:tcMar>
            <w:vAlign w:val="center"/>
          </w:tcPr>
          <w:p>
            <w:pPr>
              <w:spacing w:after="0"/>
            </w:pPr>
            <w:r>
              <w:rPr>
                <w:rFonts w:ascii="Arial" w:hAnsi="Arial"/>
                <w:b/>
                <w:i w:val="0"/>
                <w:color w:val="994A28"/>
                <w:sz w:val="21"/>
              </w:rPr>
              <w:t xml:space="preserve">Vigilance — </w:t>
            </w:r>
            <w:r>
              <w:rPr>
                <w:rFonts w:ascii="Arial" w:hAnsi="Arial"/>
                <w:b w:val="0"/>
                <w:i w:val="0"/>
                <w:color w:val="20282D"/>
                <w:sz w:val="21"/>
              </w:rPr>
              <w:t>Aucune information nouvelle ni accusation ne doit apparaître dans la restitution.</w:t>
            </w:r>
          </w:p>
        </w:tc>
      </w:tr>
    </w:tbl>
    <w:p>
      <w:pPr>
        <w:spacing w:after="20"/>
      </w:pPr>
    </w:p>
    <w:p>
      <w:pPr>
        <w:pStyle w:val="Heading2"/>
      </w:pPr>
      <w:r>
        <w:t>Auto-contrôle</w:t>
      </w:r>
    </w:p>
    <w:p>
      <w:r>
        <w:rPr>
          <w:rFonts w:ascii="Arial" w:hAnsi="Arial"/>
          <w:b w:val="0"/>
          <w:i w:val="0"/>
          <w:color w:val="20282D"/>
          <w:sz w:val="21"/>
        </w:rPr>
        <w:t>Réécrivez votre réponse si un lecteur ne peut pas retrouver la pièce, comprendre l'inférence ou savoir ce qui manque.</w:t>
      </w:r>
    </w:p>
    <w:p>
      <w:r>
        <w:br w:type="page"/>
      </w:r>
    </w:p>
    <w:p>
      <w:pPr>
        <w:pStyle w:val="Heading1"/>
      </w:pPr>
      <w:r>
        <w:t>Corrigé - assemblage des dix fragments</w:t>
      </w:r>
    </w:p>
    <w:p>
      <w:r>
        <w:rPr>
          <w:rFonts w:ascii="Arial" w:hAnsi="Arial"/>
          <w:b w:val="0"/>
          <w:i w:val="0"/>
          <w:color w:val="20282D"/>
          <w:sz w:val="21"/>
        </w:rPr>
        <w:t>Une architecture possible suit le trajet mission, périmètre, pièces, diligences, constats, chronologie, analyse, réponses, contradiction et suite. D'autres ordres restent recevables si les renvois ferment le fil de preuve.</w:t>
      </w:r>
    </w:p>
    <w:tbl>
      <w:tblPr>
        <w:tblStyle w:val="TableGrid"/>
        <w:jc w:val="center"/>
        <w:tblLook w:firstColumn="1" w:firstRow="1" w:lastColumn="0" w:lastRow="0" w:noHBand="0" w:noVBand="1" w:val="04A0"/>
        <w:tblW w:w="9920" w:type="dxa"/>
        <w:tblInd w:w="0" w:type="dxa"/>
        <w:tblLayout w:type="fixed"/>
      </w:tblPr>
      <w:tblGrid>
        <w:gridCol w:w="850"/>
        <w:gridCol w:w="1020"/>
        <w:gridCol w:w="8050"/>
      </w:tblGrid>
      <w:tr>
        <w:trPr>
          <w:tblHeader w:val="true"/>
        </w:trPr>
        <w:tc>
          <w:tcPr>
            <w:tcW w:type="dxa" w:w="850"/>
            <w:shd w:fill="243746"/>
            <w:tcMar>
              <w:top w:w="100" w:type="dxa"/>
              <w:start w:w="140" w:type="dxa"/>
              <w:bottom w:w="100" w:type="dxa"/>
              <w:end w:w="140" w:type="dxa"/>
            </w:tcMar>
            <w:vAlign w:val="center"/>
          </w:tcPr>
          <w:p>
            <w:pPr>
              <w:spacing w:after="0"/>
              <w:jc w:val="left"/>
            </w:pPr>
            <w:r>
              <w:rPr>
                <w:rFonts w:ascii="Arial" w:hAnsi="Arial"/>
                <w:b/>
                <w:i w:val="0"/>
                <w:color w:val="FFFFFF"/>
                <w:sz w:val="18"/>
              </w:rPr>
              <w:t>Ordre</w:t>
            </w:r>
          </w:p>
        </w:tc>
        <w:tc>
          <w:tcPr>
            <w:tcW w:type="dxa" w:w="1020"/>
            <w:shd w:fill="243746"/>
            <w:tcMar>
              <w:top w:w="100" w:type="dxa"/>
              <w:start w:w="140" w:type="dxa"/>
              <w:bottom w:w="100" w:type="dxa"/>
              <w:end w:w="140" w:type="dxa"/>
            </w:tcMar>
            <w:vAlign w:val="center"/>
          </w:tcPr>
          <w:p>
            <w:pPr>
              <w:spacing w:after="0"/>
              <w:jc w:val="left"/>
            </w:pPr>
            <w:r>
              <w:rPr>
                <w:rFonts w:ascii="Arial" w:hAnsi="Arial"/>
                <w:b/>
                <w:i w:val="0"/>
                <w:color w:val="FFFFFF"/>
                <w:sz w:val="18"/>
              </w:rPr>
              <w:t>Fragment</w:t>
            </w:r>
          </w:p>
        </w:tc>
        <w:tc>
          <w:tcPr>
            <w:tcW w:type="dxa" w:w="8050"/>
            <w:shd w:fill="243746"/>
            <w:tcMar>
              <w:top w:w="100" w:type="dxa"/>
              <w:start w:w="140" w:type="dxa"/>
              <w:bottom w:w="100" w:type="dxa"/>
              <w:end w:w="140" w:type="dxa"/>
            </w:tcMar>
            <w:vAlign w:val="center"/>
          </w:tcPr>
          <w:p>
            <w:pPr>
              <w:spacing w:after="0"/>
              <w:jc w:val="left"/>
            </w:pPr>
            <w:r>
              <w:rPr>
                <w:rFonts w:ascii="Arial" w:hAnsi="Arial"/>
                <w:b/>
                <w:i w:val="0"/>
                <w:color w:val="FFFFFF"/>
                <w:sz w:val="18"/>
              </w:rPr>
              <w:t>Partie et lien attendu</w:t>
            </w:r>
          </w:p>
        </w:tc>
      </w:tr>
      <w:tr>
        <w:tc>
          <w:tcPr>
            <w:tcW w:type="dxa" w:w="850"/>
            <w:tcMar>
              <w:top w:w="100" w:type="dxa"/>
              <w:start w:w="140" w:type="dxa"/>
              <w:bottom w:w="100" w:type="dxa"/>
              <w:end w:w="140" w:type="dxa"/>
            </w:tcMar>
            <w:vAlign w:val="center"/>
          </w:tcPr>
          <w:p>
            <w:pPr>
              <w:spacing w:after="0"/>
            </w:pPr>
            <w:r>
              <w:rPr>
                <w:rFonts w:ascii="Arial" w:hAnsi="Arial"/>
                <w:b w:val="0"/>
                <w:i w:val="0"/>
                <w:color w:val="20282D"/>
                <w:sz w:val="18"/>
              </w:rPr>
              <w:t>1</w:t>
            </w:r>
          </w:p>
        </w:tc>
        <w:tc>
          <w:tcPr>
            <w:tcW w:type="dxa" w:w="1020"/>
            <w:tcMar>
              <w:top w:w="100" w:type="dxa"/>
              <w:start w:w="140" w:type="dxa"/>
              <w:bottom w:w="100" w:type="dxa"/>
              <w:end w:w="140" w:type="dxa"/>
            </w:tcMar>
            <w:vAlign w:val="center"/>
          </w:tcPr>
          <w:p>
            <w:pPr>
              <w:spacing w:after="0"/>
            </w:pPr>
            <w:r>
              <w:rPr>
                <w:rFonts w:ascii="Arial" w:hAnsi="Arial"/>
                <w:b w:val="0"/>
                <w:i w:val="0"/>
                <w:color w:val="20282D"/>
                <w:sz w:val="18"/>
              </w:rPr>
              <w:t>F01</w:t>
            </w:r>
          </w:p>
        </w:tc>
        <w:tc>
          <w:tcPr>
            <w:tcW w:type="dxa" w:w="8050"/>
            <w:tcMar>
              <w:top w:w="100" w:type="dxa"/>
              <w:start w:w="140" w:type="dxa"/>
              <w:bottom w:w="100" w:type="dxa"/>
              <w:end w:w="140" w:type="dxa"/>
            </w:tcMar>
            <w:vAlign w:val="center"/>
          </w:tcPr>
          <w:p>
            <w:pPr>
              <w:spacing w:after="0"/>
            </w:pPr>
            <w:r>
              <w:rPr>
                <w:rFonts w:ascii="Arial" w:hAnsi="Arial"/>
                <w:b w:val="0"/>
                <w:i w:val="0"/>
                <w:color w:val="20282D"/>
                <w:sz w:val="18"/>
              </w:rPr>
              <w:t>Mission - ouvre les trois points confiés</w:t>
            </w:r>
          </w:p>
        </w:tc>
      </w:tr>
      <w:tr>
        <w:tc>
          <w:tcPr>
            <w:tcW w:type="dxa" w:w="850"/>
            <w:tcMar>
              <w:top w:w="100" w:type="dxa"/>
              <w:start w:w="140" w:type="dxa"/>
              <w:bottom w:w="100" w:type="dxa"/>
              <w:end w:w="140" w:type="dxa"/>
            </w:tcMar>
            <w:vAlign w:val="center"/>
          </w:tcPr>
          <w:p>
            <w:pPr>
              <w:spacing w:after="0"/>
            </w:pPr>
            <w:r>
              <w:rPr>
                <w:rFonts w:ascii="Arial" w:hAnsi="Arial"/>
                <w:b w:val="0"/>
                <w:i w:val="0"/>
                <w:color w:val="20282D"/>
                <w:sz w:val="18"/>
              </w:rPr>
              <w:t>2</w:t>
            </w:r>
          </w:p>
        </w:tc>
        <w:tc>
          <w:tcPr>
            <w:tcW w:type="dxa" w:w="1020"/>
            <w:tcMar>
              <w:top w:w="100" w:type="dxa"/>
              <w:start w:w="140" w:type="dxa"/>
              <w:bottom w:w="100" w:type="dxa"/>
              <w:end w:w="140" w:type="dxa"/>
            </w:tcMar>
            <w:vAlign w:val="center"/>
          </w:tcPr>
          <w:p>
            <w:pPr>
              <w:spacing w:after="0"/>
            </w:pPr>
            <w:r>
              <w:rPr>
                <w:rFonts w:ascii="Arial" w:hAnsi="Arial"/>
                <w:b w:val="0"/>
                <w:i w:val="0"/>
                <w:color w:val="20282D"/>
                <w:sz w:val="18"/>
              </w:rPr>
              <w:t>F02</w:t>
            </w:r>
          </w:p>
        </w:tc>
        <w:tc>
          <w:tcPr>
            <w:tcW w:type="dxa" w:w="8050"/>
            <w:tcMar>
              <w:top w:w="100" w:type="dxa"/>
              <w:start w:w="140" w:type="dxa"/>
              <w:bottom w:w="100" w:type="dxa"/>
              <w:end w:w="140" w:type="dxa"/>
            </w:tcMar>
            <w:vAlign w:val="center"/>
          </w:tcPr>
          <w:p>
            <w:pPr>
              <w:spacing w:after="0"/>
            </w:pPr>
            <w:r>
              <w:rPr>
                <w:rFonts w:ascii="Arial" w:hAnsi="Arial"/>
                <w:b w:val="0"/>
                <w:i w:val="0"/>
                <w:color w:val="20282D"/>
                <w:sz w:val="18"/>
              </w:rPr>
              <w:t>Périmètre - borne les zones observées</w:t>
            </w:r>
          </w:p>
        </w:tc>
      </w:tr>
      <w:tr>
        <w:tc>
          <w:tcPr>
            <w:tcW w:type="dxa" w:w="850"/>
            <w:tcMar>
              <w:top w:w="100" w:type="dxa"/>
              <w:start w:w="140" w:type="dxa"/>
              <w:bottom w:w="100" w:type="dxa"/>
              <w:end w:w="140" w:type="dxa"/>
            </w:tcMar>
            <w:vAlign w:val="center"/>
          </w:tcPr>
          <w:p>
            <w:pPr>
              <w:spacing w:after="0"/>
            </w:pPr>
            <w:r>
              <w:rPr>
                <w:rFonts w:ascii="Arial" w:hAnsi="Arial"/>
                <w:b w:val="0"/>
                <w:i w:val="0"/>
                <w:color w:val="20282D"/>
                <w:sz w:val="18"/>
              </w:rPr>
              <w:t>3</w:t>
            </w:r>
          </w:p>
        </w:tc>
        <w:tc>
          <w:tcPr>
            <w:tcW w:type="dxa" w:w="1020"/>
            <w:tcMar>
              <w:top w:w="100" w:type="dxa"/>
              <w:start w:w="140" w:type="dxa"/>
              <w:bottom w:w="100" w:type="dxa"/>
              <w:end w:w="140" w:type="dxa"/>
            </w:tcMar>
            <w:vAlign w:val="center"/>
          </w:tcPr>
          <w:p>
            <w:pPr>
              <w:spacing w:after="0"/>
            </w:pPr>
            <w:r>
              <w:rPr>
                <w:rFonts w:ascii="Arial" w:hAnsi="Arial"/>
                <w:b w:val="0"/>
                <w:i w:val="0"/>
                <w:color w:val="20282D"/>
                <w:sz w:val="18"/>
              </w:rPr>
              <w:t>F03</w:t>
            </w:r>
          </w:p>
        </w:tc>
        <w:tc>
          <w:tcPr>
            <w:tcW w:type="dxa" w:w="8050"/>
            <w:tcMar>
              <w:top w:w="100" w:type="dxa"/>
              <w:start w:w="140" w:type="dxa"/>
              <w:bottom w:w="100" w:type="dxa"/>
              <w:end w:w="140" w:type="dxa"/>
            </w:tcMar>
            <w:vAlign w:val="center"/>
          </w:tcPr>
          <w:p>
            <w:pPr>
              <w:spacing w:after="0"/>
            </w:pPr>
            <w:r>
              <w:rPr>
                <w:rFonts w:ascii="Arial" w:hAnsi="Arial"/>
                <w:b w:val="0"/>
                <w:i w:val="0"/>
                <w:color w:val="20282D"/>
                <w:sz w:val="18"/>
              </w:rPr>
              <w:t>Bordereau - rend les pièces retrouvables</w:t>
            </w:r>
          </w:p>
        </w:tc>
      </w:tr>
      <w:tr>
        <w:tc>
          <w:tcPr>
            <w:tcW w:type="dxa" w:w="850"/>
            <w:tcMar>
              <w:top w:w="100" w:type="dxa"/>
              <w:start w:w="140" w:type="dxa"/>
              <w:bottom w:w="100" w:type="dxa"/>
              <w:end w:w="140" w:type="dxa"/>
            </w:tcMar>
            <w:vAlign w:val="center"/>
          </w:tcPr>
          <w:p>
            <w:pPr>
              <w:spacing w:after="0"/>
            </w:pPr>
            <w:r>
              <w:rPr>
                <w:rFonts w:ascii="Arial" w:hAnsi="Arial"/>
                <w:b w:val="0"/>
                <w:i w:val="0"/>
                <w:color w:val="20282D"/>
                <w:sz w:val="18"/>
              </w:rPr>
              <w:t>4</w:t>
            </w:r>
          </w:p>
        </w:tc>
        <w:tc>
          <w:tcPr>
            <w:tcW w:type="dxa" w:w="1020"/>
            <w:tcMar>
              <w:top w:w="100" w:type="dxa"/>
              <w:start w:w="140" w:type="dxa"/>
              <w:bottom w:w="100" w:type="dxa"/>
              <w:end w:w="140" w:type="dxa"/>
            </w:tcMar>
            <w:vAlign w:val="center"/>
          </w:tcPr>
          <w:p>
            <w:pPr>
              <w:spacing w:after="0"/>
            </w:pPr>
            <w:r>
              <w:rPr>
                <w:rFonts w:ascii="Arial" w:hAnsi="Arial"/>
                <w:b w:val="0"/>
                <w:i w:val="0"/>
                <w:color w:val="20282D"/>
                <w:sz w:val="18"/>
              </w:rPr>
              <w:t>F04</w:t>
            </w:r>
          </w:p>
        </w:tc>
        <w:tc>
          <w:tcPr>
            <w:tcW w:type="dxa" w:w="8050"/>
            <w:tcMar>
              <w:top w:w="100" w:type="dxa"/>
              <w:start w:w="140" w:type="dxa"/>
              <w:bottom w:w="100" w:type="dxa"/>
              <w:end w:w="140" w:type="dxa"/>
            </w:tcMar>
            <w:vAlign w:val="center"/>
          </w:tcPr>
          <w:p>
            <w:pPr>
              <w:spacing w:after="0"/>
            </w:pPr>
            <w:r>
              <w:rPr>
                <w:rFonts w:ascii="Arial" w:hAnsi="Arial"/>
                <w:b w:val="0"/>
                <w:i w:val="0"/>
                <w:color w:val="20282D"/>
                <w:sz w:val="18"/>
              </w:rPr>
              <w:t>Diligences - décrit l'opération</w:t>
            </w:r>
          </w:p>
        </w:tc>
      </w:tr>
      <w:tr>
        <w:tc>
          <w:tcPr>
            <w:tcW w:type="dxa" w:w="850"/>
            <w:tcMar>
              <w:top w:w="100" w:type="dxa"/>
              <w:start w:w="140" w:type="dxa"/>
              <w:bottom w:w="100" w:type="dxa"/>
              <w:end w:w="140" w:type="dxa"/>
            </w:tcMar>
            <w:vAlign w:val="center"/>
          </w:tcPr>
          <w:p>
            <w:pPr>
              <w:spacing w:after="0"/>
            </w:pPr>
            <w:r>
              <w:rPr>
                <w:rFonts w:ascii="Arial" w:hAnsi="Arial"/>
                <w:b w:val="0"/>
                <w:i w:val="0"/>
                <w:color w:val="20282D"/>
                <w:sz w:val="18"/>
              </w:rPr>
              <w:t>5</w:t>
            </w:r>
          </w:p>
        </w:tc>
        <w:tc>
          <w:tcPr>
            <w:tcW w:type="dxa" w:w="1020"/>
            <w:tcMar>
              <w:top w:w="100" w:type="dxa"/>
              <w:start w:w="140" w:type="dxa"/>
              <w:bottom w:w="100" w:type="dxa"/>
              <w:end w:w="140" w:type="dxa"/>
            </w:tcMar>
            <w:vAlign w:val="center"/>
          </w:tcPr>
          <w:p>
            <w:pPr>
              <w:spacing w:after="0"/>
            </w:pPr>
            <w:r>
              <w:rPr>
                <w:rFonts w:ascii="Arial" w:hAnsi="Arial"/>
                <w:b w:val="0"/>
                <w:i w:val="0"/>
                <w:color w:val="20282D"/>
                <w:sz w:val="18"/>
              </w:rPr>
              <w:t>F05</w:t>
            </w:r>
          </w:p>
        </w:tc>
        <w:tc>
          <w:tcPr>
            <w:tcW w:type="dxa" w:w="8050"/>
            <w:tcMar>
              <w:top w:w="100" w:type="dxa"/>
              <w:start w:w="140" w:type="dxa"/>
              <w:bottom w:w="100" w:type="dxa"/>
              <w:end w:w="140" w:type="dxa"/>
            </w:tcMar>
            <w:vAlign w:val="center"/>
          </w:tcPr>
          <w:p>
            <w:pPr>
              <w:spacing w:after="0"/>
            </w:pPr>
            <w:r>
              <w:rPr>
                <w:rFonts w:ascii="Arial" w:hAnsi="Arial"/>
                <w:b w:val="0"/>
                <w:i w:val="0"/>
                <w:color w:val="20282D"/>
                <w:sz w:val="18"/>
              </w:rPr>
              <w:t>Constats - localise la fissure</w:t>
            </w:r>
          </w:p>
        </w:tc>
      </w:tr>
      <w:tr>
        <w:tc>
          <w:tcPr>
            <w:tcW w:type="dxa" w:w="850"/>
            <w:tcMar>
              <w:top w:w="100" w:type="dxa"/>
              <w:start w:w="140" w:type="dxa"/>
              <w:bottom w:w="100" w:type="dxa"/>
              <w:end w:w="140" w:type="dxa"/>
            </w:tcMar>
            <w:vAlign w:val="center"/>
          </w:tcPr>
          <w:p>
            <w:pPr>
              <w:spacing w:after="0"/>
            </w:pPr>
            <w:r>
              <w:rPr>
                <w:rFonts w:ascii="Arial" w:hAnsi="Arial"/>
                <w:b w:val="0"/>
                <w:i w:val="0"/>
                <w:color w:val="20282D"/>
                <w:sz w:val="18"/>
              </w:rPr>
              <w:t>6</w:t>
            </w:r>
          </w:p>
        </w:tc>
        <w:tc>
          <w:tcPr>
            <w:tcW w:type="dxa" w:w="1020"/>
            <w:tcMar>
              <w:top w:w="100" w:type="dxa"/>
              <w:start w:w="140" w:type="dxa"/>
              <w:bottom w:w="100" w:type="dxa"/>
              <w:end w:w="140" w:type="dxa"/>
            </w:tcMar>
            <w:vAlign w:val="center"/>
          </w:tcPr>
          <w:p>
            <w:pPr>
              <w:spacing w:after="0"/>
            </w:pPr>
            <w:r>
              <w:rPr>
                <w:rFonts w:ascii="Arial" w:hAnsi="Arial"/>
                <w:b w:val="0"/>
                <w:i w:val="0"/>
                <w:color w:val="20282D"/>
                <w:sz w:val="18"/>
              </w:rPr>
              <w:t>F06</w:t>
            </w:r>
          </w:p>
        </w:tc>
        <w:tc>
          <w:tcPr>
            <w:tcW w:type="dxa" w:w="8050"/>
            <w:tcMar>
              <w:top w:w="100" w:type="dxa"/>
              <w:start w:w="140" w:type="dxa"/>
              <w:bottom w:w="100" w:type="dxa"/>
              <w:end w:w="140" w:type="dxa"/>
            </w:tcMar>
            <w:vAlign w:val="center"/>
          </w:tcPr>
          <w:p>
            <w:pPr>
              <w:spacing w:after="0"/>
            </w:pPr>
            <w:r>
              <w:rPr>
                <w:rFonts w:ascii="Arial" w:hAnsi="Arial"/>
                <w:b w:val="0"/>
                <w:i w:val="0"/>
                <w:color w:val="20282D"/>
                <w:sz w:val="18"/>
              </w:rPr>
              <w:t>Chronologie - rend la divergence visible</w:t>
            </w:r>
          </w:p>
        </w:tc>
      </w:tr>
      <w:tr>
        <w:tc>
          <w:tcPr>
            <w:tcW w:type="dxa" w:w="850"/>
            <w:tcMar>
              <w:top w:w="100" w:type="dxa"/>
              <w:start w:w="140" w:type="dxa"/>
              <w:bottom w:w="100" w:type="dxa"/>
              <w:end w:w="140" w:type="dxa"/>
            </w:tcMar>
            <w:vAlign w:val="center"/>
          </w:tcPr>
          <w:p>
            <w:pPr>
              <w:spacing w:after="0"/>
            </w:pPr>
            <w:r>
              <w:rPr>
                <w:rFonts w:ascii="Arial" w:hAnsi="Arial"/>
                <w:b w:val="0"/>
                <w:i w:val="0"/>
                <w:color w:val="20282D"/>
                <w:sz w:val="18"/>
              </w:rPr>
              <w:t>7</w:t>
            </w:r>
          </w:p>
        </w:tc>
        <w:tc>
          <w:tcPr>
            <w:tcW w:type="dxa" w:w="1020"/>
            <w:tcMar>
              <w:top w:w="100" w:type="dxa"/>
              <w:start w:w="140" w:type="dxa"/>
              <w:bottom w:w="100" w:type="dxa"/>
              <w:end w:w="140" w:type="dxa"/>
            </w:tcMar>
            <w:vAlign w:val="center"/>
          </w:tcPr>
          <w:p>
            <w:pPr>
              <w:spacing w:after="0"/>
            </w:pPr>
            <w:r>
              <w:rPr>
                <w:rFonts w:ascii="Arial" w:hAnsi="Arial"/>
                <w:b w:val="0"/>
                <w:i w:val="0"/>
                <w:color w:val="20282D"/>
                <w:sz w:val="18"/>
              </w:rPr>
              <w:t>F07</w:t>
            </w:r>
          </w:p>
        </w:tc>
        <w:tc>
          <w:tcPr>
            <w:tcW w:type="dxa" w:w="8050"/>
            <w:tcMar>
              <w:top w:w="100" w:type="dxa"/>
              <w:start w:w="140" w:type="dxa"/>
              <w:bottom w:w="100" w:type="dxa"/>
              <w:end w:w="140" w:type="dxa"/>
            </w:tcMar>
            <w:vAlign w:val="center"/>
          </w:tcPr>
          <w:p>
            <w:pPr>
              <w:spacing w:after="0"/>
            </w:pPr>
            <w:r>
              <w:rPr>
                <w:rFonts w:ascii="Arial" w:hAnsi="Arial"/>
                <w:b w:val="0"/>
                <w:i w:val="0"/>
                <w:color w:val="20282D"/>
                <w:sz w:val="18"/>
              </w:rPr>
              <w:t>Analyse - confronte les alternatives</w:t>
            </w:r>
          </w:p>
        </w:tc>
      </w:tr>
      <w:tr>
        <w:tc>
          <w:tcPr>
            <w:tcW w:type="dxa" w:w="850"/>
            <w:tcMar>
              <w:top w:w="100" w:type="dxa"/>
              <w:start w:w="140" w:type="dxa"/>
              <w:bottom w:w="100" w:type="dxa"/>
              <w:end w:w="140" w:type="dxa"/>
            </w:tcMar>
            <w:vAlign w:val="center"/>
          </w:tcPr>
          <w:p>
            <w:pPr>
              <w:spacing w:after="0"/>
            </w:pPr>
            <w:r>
              <w:rPr>
                <w:rFonts w:ascii="Arial" w:hAnsi="Arial"/>
                <w:b w:val="0"/>
                <w:i w:val="0"/>
                <w:color w:val="20282D"/>
                <w:sz w:val="18"/>
              </w:rPr>
              <w:t>8</w:t>
            </w:r>
          </w:p>
        </w:tc>
        <w:tc>
          <w:tcPr>
            <w:tcW w:type="dxa" w:w="1020"/>
            <w:tcMar>
              <w:top w:w="100" w:type="dxa"/>
              <w:start w:w="140" w:type="dxa"/>
              <w:bottom w:w="100" w:type="dxa"/>
              <w:end w:w="140" w:type="dxa"/>
            </w:tcMar>
            <w:vAlign w:val="center"/>
          </w:tcPr>
          <w:p>
            <w:pPr>
              <w:spacing w:after="0"/>
            </w:pPr>
            <w:r>
              <w:rPr>
                <w:rFonts w:ascii="Arial" w:hAnsi="Arial"/>
                <w:b w:val="0"/>
                <w:i w:val="0"/>
                <w:color w:val="20282D"/>
                <w:sz w:val="18"/>
              </w:rPr>
              <w:t>F08</w:t>
            </w:r>
          </w:p>
        </w:tc>
        <w:tc>
          <w:tcPr>
            <w:tcW w:type="dxa" w:w="8050"/>
            <w:tcMar>
              <w:top w:w="100" w:type="dxa"/>
              <w:start w:w="140" w:type="dxa"/>
              <w:bottom w:w="100" w:type="dxa"/>
              <w:end w:w="140" w:type="dxa"/>
            </w:tcMar>
            <w:vAlign w:val="center"/>
          </w:tcPr>
          <w:p>
            <w:pPr>
              <w:spacing w:after="0"/>
            </w:pPr>
            <w:r>
              <w:rPr>
                <w:rFonts w:ascii="Arial" w:hAnsi="Arial"/>
                <w:b w:val="0"/>
                <w:i w:val="0"/>
                <w:color w:val="20282D"/>
                <w:sz w:val="18"/>
              </w:rPr>
              <w:t>Conclusion A - répond à proportion</w:t>
            </w:r>
          </w:p>
        </w:tc>
      </w:tr>
      <w:tr>
        <w:tc>
          <w:tcPr>
            <w:tcW w:type="dxa" w:w="850"/>
            <w:tcMar>
              <w:top w:w="100" w:type="dxa"/>
              <w:start w:w="140" w:type="dxa"/>
              <w:bottom w:w="100" w:type="dxa"/>
              <w:end w:w="140" w:type="dxa"/>
            </w:tcMar>
            <w:vAlign w:val="center"/>
          </w:tcPr>
          <w:p>
            <w:pPr>
              <w:spacing w:after="0"/>
            </w:pPr>
            <w:r>
              <w:rPr>
                <w:rFonts w:ascii="Arial" w:hAnsi="Arial"/>
                <w:b w:val="0"/>
                <w:i w:val="0"/>
                <w:color w:val="20282D"/>
                <w:sz w:val="18"/>
              </w:rPr>
              <w:t>9</w:t>
            </w:r>
          </w:p>
        </w:tc>
        <w:tc>
          <w:tcPr>
            <w:tcW w:type="dxa" w:w="1020"/>
            <w:tcMar>
              <w:top w:w="100" w:type="dxa"/>
              <w:start w:w="140" w:type="dxa"/>
              <w:bottom w:w="100" w:type="dxa"/>
              <w:end w:w="140" w:type="dxa"/>
            </w:tcMar>
            <w:vAlign w:val="center"/>
          </w:tcPr>
          <w:p>
            <w:pPr>
              <w:spacing w:after="0"/>
            </w:pPr>
            <w:r>
              <w:rPr>
                <w:rFonts w:ascii="Arial" w:hAnsi="Arial"/>
                <w:b w:val="0"/>
                <w:i w:val="0"/>
                <w:color w:val="20282D"/>
                <w:sz w:val="18"/>
              </w:rPr>
              <w:t>F09</w:t>
            </w:r>
          </w:p>
        </w:tc>
        <w:tc>
          <w:tcPr>
            <w:tcW w:type="dxa" w:w="8050"/>
            <w:tcMar>
              <w:top w:w="100" w:type="dxa"/>
              <w:start w:w="140" w:type="dxa"/>
              <w:bottom w:w="100" w:type="dxa"/>
              <w:end w:w="140" w:type="dxa"/>
            </w:tcMar>
            <w:vAlign w:val="center"/>
          </w:tcPr>
          <w:p>
            <w:pPr>
              <w:spacing w:after="0"/>
            </w:pPr>
            <w:r>
              <w:rPr>
                <w:rFonts w:ascii="Arial" w:hAnsi="Arial"/>
                <w:b w:val="0"/>
                <w:i w:val="0"/>
                <w:color w:val="20282D"/>
                <w:sz w:val="18"/>
              </w:rPr>
              <w:t>Suites données - trace les observations</w:t>
            </w:r>
          </w:p>
        </w:tc>
      </w:tr>
      <w:tr>
        <w:tc>
          <w:tcPr>
            <w:tcW w:type="dxa" w:w="850"/>
            <w:tcMar>
              <w:top w:w="100" w:type="dxa"/>
              <w:start w:w="140" w:type="dxa"/>
              <w:bottom w:w="100" w:type="dxa"/>
              <w:end w:w="140" w:type="dxa"/>
            </w:tcMar>
            <w:vAlign w:val="center"/>
          </w:tcPr>
          <w:p>
            <w:pPr>
              <w:spacing w:after="0"/>
            </w:pPr>
            <w:r>
              <w:rPr>
                <w:rFonts w:ascii="Arial" w:hAnsi="Arial"/>
                <w:b w:val="0"/>
                <w:i w:val="0"/>
                <w:color w:val="20282D"/>
                <w:sz w:val="18"/>
              </w:rPr>
              <w:t>10</w:t>
            </w:r>
          </w:p>
        </w:tc>
        <w:tc>
          <w:tcPr>
            <w:tcW w:type="dxa" w:w="1020"/>
            <w:tcMar>
              <w:top w:w="100" w:type="dxa"/>
              <w:start w:w="140" w:type="dxa"/>
              <w:bottom w:w="100" w:type="dxa"/>
              <w:end w:w="140" w:type="dxa"/>
            </w:tcMar>
            <w:vAlign w:val="center"/>
          </w:tcPr>
          <w:p>
            <w:pPr>
              <w:spacing w:after="0"/>
            </w:pPr>
            <w:r>
              <w:rPr>
                <w:rFonts w:ascii="Arial" w:hAnsi="Arial"/>
                <w:b w:val="0"/>
                <w:i w:val="0"/>
                <w:color w:val="20282D"/>
                <w:sz w:val="18"/>
              </w:rPr>
              <w:t>F10</w:t>
            </w:r>
          </w:p>
        </w:tc>
        <w:tc>
          <w:tcPr>
            <w:tcW w:type="dxa" w:w="8050"/>
            <w:tcMar>
              <w:top w:w="100" w:type="dxa"/>
              <w:start w:w="140" w:type="dxa"/>
              <w:bottom w:w="100" w:type="dxa"/>
              <w:end w:w="140" w:type="dxa"/>
            </w:tcMar>
            <w:vAlign w:val="center"/>
          </w:tcPr>
          <w:p>
            <w:pPr>
              <w:spacing w:after="0"/>
            </w:pPr>
            <w:r>
              <w:rPr>
                <w:rFonts w:ascii="Arial" w:hAnsi="Arial"/>
                <w:b w:val="0"/>
                <w:i w:val="0"/>
                <w:color w:val="20282D"/>
                <w:sz w:val="18"/>
              </w:rPr>
              <w:t>Suite utile - relie action et décision</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EF"/>
            <w:tcMar>
              <w:top w:w="130" w:type="dxa"/>
              <w:start w:w="170" w:type="dxa"/>
              <w:bottom w:w="130" w:type="dxa"/>
              <w:end w:w="170" w:type="dxa"/>
            </w:tcMar>
            <w:vAlign w:val="center"/>
          </w:tcPr>
          <w:p>
            <w:pPr>
              <w:spacing w:after="0"/>
            </w:pPr>
            <w:r>
              <w:rPr>
                <w:rFonts w:ascii="Arial" w:hAnsi="Arial"/>
                <w:b/>
                <w:i w:val="0"/>
                <w:color w:val="994A28"/>
                <w:sz w:val="21"/>
              </w:rPr>
              <w:t xml:space="preserve">Contrôle — </w:t>
            </w:r>
            <w:r>
              <w:rPr>
                <w:rFonts w:ascii="Arial" w:hAnsi="Arial"/>
                <w:b w:val="0"/>
                <w:i w:val="0"/>
                <w:color w:val="20282D"/>
                <w:sz w:val="21"/>
              </w:rPr>
              <w:t>F08 doit renvoyer vers F05 à F07 ; F09 doit conduire aux passages réellement modifiés.</w:t>
            </w:r>
          </w:p>
        </w:tc>
      </w:tr>
    </w:tbl>
    <w:p>
      <w:pPr>
        <w:spacing w:after="20"/>
      </w:pPr>
    </w:p>
    <w:p>
      <w:r>
        <w:br w:type="page"/>
      </w:r>
    </w:p>
    <w:p>
      <w:pPr>
        <w:pStyle w:val="Heading1"/>
      </w:pPr>
      <w:r>
        <w:t>Corrigé - phrases R01 à R05</w:t>
      </w:r>
    </w:p>
    <w:tbl>
      <w:tblPr>
        <w:tblStyle w:val="TableGrid"/>
        <w:jc w:val="center"/>
        <w:tblLook w:firstColumn="1" w:firstRow="1" w:lastColumn="0" w:lastRow="0" w:noHBand="0" w:noVBand="1" w:val="04A0"/>
        <w:tblW w:w="9920" w:type="dxa"/>
        <w:tblInd w:w="0" w:type="dxa"/>
        <w:tblLayout w:type="fixed"/>
      </w:tblPr>
      <w:tblGrid>
        <w:gridCol w:w="737"/>
        <w:gridCol w:w="3231"/>
        <w:gridCol w:w="5952"/>
      </w:tblGrid>
      <w:tr>
        <w:trPr>
          <w:tblHeader w:val="true"/>
        </w:trPr>
        <w:tc>
          <w:tcPr>
            <w:tcW w:type="dxa" w:w="737"/>
            <w:shd w:fill="243746"/>
            <w:tcMar>
              <w:top w:w="100" w:type="dxa"/>
              <w:start w:w="140" w:type="dxa"/>
              <w:bottom w:w="100" w:type="dxa"/>
              <w:end w:w="140" w:type="dxa"/>
            </w:tcMar>
            <w:vAlign w:val="center"/>
          </w:tcPr>
          <w:p>
            <w:pPr>
              <w:spacing w:after="0"/>
              <w:jc w:val="left"/>
            </w:pPr>
            <w:r>
              <w:rPr>
                <w:rFonts w:ascii="Arial" w:hAnsi="Arial"/>
                <w:b/>
                <w:i w:val="0"/>
                <w:color w:val="FFFFFF"/>
                <w:sz w:val="18"/>
              </w:rPr>
              <w:t>ID</w:t>
            </w:r>
          </w:p>
        </w:tc>
        <w:tc>
          <w:tcPr>
            <w:tcW w:type="dxa" w:w="3231"/>
            <w:shd w:fill="243746"/>
            <w:tcMar>
              <w:top w:w="100" w:type="dxa"/>
              <w:start w:w="140" w:type="dxa"/>
              <w:bottom w:w="100" w:type="dxa"/>
              <w:end w:w="140" w:type="dxa"/>
            </w:tcMar>
            <w:vAlign w:val="center"/>
          </w:tcPr>
          <w:p>
            <w:pPr>
              <w:spacing w:after="0"/>
              <w:jc w:val="left"/>
            </w:pPr>
            <w:r>
              <w:rPr>
                <w:rFonts w:ascii="Arial" w:hAnsi="Arial"/>
                <w:b/>
                <w:i w:val="0"/>
                <w:color w:val="FFFFFF"/>
                <w:sz w:val="18"/>
              </w:rPr>
              <w:t>Formulation fragile</w:t>
            </w:r>
          </w:p>
        </w:tc>
        <w:tc>
          <w:tcPr>
            <w:tcW w:type="dxa" w:w="5952"/>
            <w:shd w:fill="243746"/>
            <w:tcMar>
              <w:top w:w="100" w:type="dxa"/>
              <w:start w:w="140" w:type="dxa"/>
              <w:bottom w:w="100" w:type="dxa"/>
              <w:end w:w="140" w:type="dxa"/>
            </w:tcMar>
            <w:vAlign w:val="center"/>
          </w:tcPr>
          <w:p>
            <w:pPr>
              <w:spacing w:after="0"/>
              <w:jc w:val="left"/>
            </w:pPr>
            <w:r>
              <w:rPr>
                <w:rFonts w:ascii="Arial" w:hAnsi="Arial"/>
                <w:b/>
                <w:i w:val="0"/>
                <w:color w:val="FFFFFF"/>
                <w:sz w:val="18"/>
              </w:rPr>
              <w:t>Réécriture indicative</w:t>
            </w:r>
          </w:p>
        </w:tc>
      </w:tr>
      <w:tr>
        <w:tc>
          <w:tcPr>
            <w:tcW w:type="dxa" w:w="737"/>
            <w:tcMar>
              <w:top w:w="100" w:type="dxa"/>
              <w:start w:w="140" w:type="dxa"/>
              <w:bottom w:w="100" w:type="dxa"/>
              <w:end w:w="140" w:type="dxa"/>
            </w:tcMar>
            <w:vAlign w:val="center"/>
          </w:tcPr>
          <w:p>
            <w:pPr>
              <w:spacing w:after="0"/>
            </w:pPr>
            <w:r>
              <w:rPr>
                <w:rFonts w:ascii="Arial" w:hAnsi="Arial"/>
                <w:b w:val="0"/>
                <w:i w:val="0"/>
                <w:color w:val="20282D"/>
                <w:sz w:val="18"/>
              </w:rPr>
              <w:t>R01</w:t>
            </w:r>
          </w:p>
        </w:tc>
        <w:tc>
          <w:tcPr>
            <w:tcW w:type="dxa" w:w="3231"/>
            <w:tcMar>
              <w:top w:w="100" w:type="dxa"/>
              <w:start w:w="140" w:type="dxa"/>
              <w:bottom w:w="100" w:type="dxa"/>
              <w:end w:w="140" w:type="dxa"/>
            </w:tcMar>
            <w:vAlign w:val="center"/>
          </w:tcPr>
          <w:p>
            <w:pPr>
              <w:spacing w:after="0"/>
            </w:pPr>
            <w:r>
              <w:rPr>
                <w:rFonts w:ascii="Arial" w:hAnsi="Arial"/>
                <w:b w:val="0"/>
                <w:i w:val="0"/>
                <w:color w:val="20282D"/>
                <w:sz w:val="18"/>
              </w:rPr>
              <w:t>Tout est fissuré à cause de l'extension.</w:t>
            </w:r>
          </w:p>
        </w:tc>
        <w:tc>
          <w:tcPr>
            <w:tcW w:type="dxa" w:w="5952"/>
            <w:tcMar>
              <w:top w:w="100" w:type="dxa"/>
              <w:start w:w="140" w:type="dxa"/>
              <w:bottom w:w="100" w:type="dxa"/>
              <w:end w:w="140" w:type="dxa"/>
            </w:tcMar>
            <w:vAlign w:val="center"/>
          </w:tcPr>
          <w:p>
            <w:pPr>
              <w:spacing w:after="0"/>
            </w:pPr>
            <w:r>
              <w:rPr>
                <w:rFonts w:ascii="Arial" w:hAnsi="Arial"/>
                <w:b w:val="0"/>
                <w:i w:val="0"/>
                <w:color w:val="20282D"/>
                <w:sz w:val="18"/>
              </w:rPr>
              <w:t>Deux manifestations sont décrites dans le dossier ; leur éventuel mécanisme commun reste à examiner.</w:t>
            </w:r>
          </w:p>
        </w:tc>
      </w:tr>
      <w:tr>
        <w:tc>
          <w:tcPr>
            <w:tcW w:type="dxa" w:w="737"/>
            <w:tcMar>
              <w:top w:w="100" w:type="dxa"/>
              <w:start w:w="140" w:type="dxa"/>
              <w:bottom w:w="100" w:type="dxa"/>
              <w:end w:w="140" w:type="dxa"/>
            </w:tcMar>
            <w:vAlign w:val="center"/>
          </w:tcPr>
          <w:p>
            <w:pPr>
              <w:spacing w:after="0"/>
            </w:pPr>
            <w:r>
              <w:rPr>
                <w:rFonts w:ascii="Arial" w:hAnsi="Arial"/>
                <w:b w:val="0"/>
                <w:i w:val="0"/>
                <w:color w:val="20282D"/>
                <w:sz w:val="18"/>
              </w:rPr>
              <w:t>R02</w:t>
            </w:r>
          </w:p>
        </w:tc>
        <w:tc>
          <w:tcPr>
            <w:tcW w:type="dxa" w:w="3231"/>
            <w:tcMar>
              <w:top w:w="100" w:type="dxa"/>
              <w:start w:w="140" w:type="dxa"/>
              <w:bottom w:w="100" w:type="dxa"/>
              <w:end w:w="140" w:type="dxa"/>
            </w:tcMar>
            <w:vAlign w:val="center"/>
          </w:tcPr>
          <w:p>
            <w:pPr>
              <w:spacing w:after="0"/>
            </w:pPr>
            <w:r>
              <w:rPr>
                <w:rFonts w:ascii="Arial" w:hAnsi="Arial"/>
                <w:b w:val="0"/>
                <w:i w:val="0"/>
                <w:color w:val="20282D"/>
                <w:sz w:val="18"/>
              </w:rPr>
              <w:t>L'entreprise est forcément responsable.</w:t>
            </w:r>
          </w:p>
        </w:tc>
        <w:tc>
          <w:tcPr>
            <w:tcW w:type="dxa" w:w="5952"/>
            <w:tcMar>
              <w:top w:w="100" w:type="dxa"/>
              <w:start w:w="140" w:type="dxa"/>
              <w:bottom w:w="100" w:type="dxa"/>
              <w:end w:w="140" w:type="dxa"/>
            </w:tcMar>
            <w:vAlign w:val="center"/>
          </w:tcPr>
          <w:p>
            <w:pPr>
              <w:spacing w:after="0"/>
            </w:pPr>
            <w:r>
              <w:rPr>
                <w:rFonts w:ascii="Arial" w:hAnsi="Arial"/>
                <w:b w:val="0"/>
                <w:i w:val="0"/>
                <w:color w:val="20282D"/>
                <w:sz w:val="18"/>
              </w:rPr>
              <w:t>Le présent avis technique ne qualifie pas les responsabilités juridiques.</w:t>
            </w:r>
          </w:p>
        </w:tc>
      </w:tr>
      <w:tr>
        <w:tc>
          <w:tcPr>
            <w:tcW w:type="dxa" w:w="737"/>
            <w:tcMar>
              <w:top w:w="100" w:type="dxa"/>
              <w:start w:w="140" w:type="dxa"/>
              <w:bottom w:w="100" w:type="dxa"/>
              <w:end w:w="140" w:type="dxa"/>
            </w:tcMar>
            <w:vAlign w:val="center"/>
          </w:tcPr>
          <w:p>
            <w:pPr>
              <w:spacing w:after="0"/>
            </w:pPr>
            <w:r>
              <w:rPr>
                <w:rFonts w:ascii="Arial" w:hAnsi="Arial"/>
                <w:b w:val="0"/>
                <w:i w:val="0"/>
                <w:color w:val="20282D"/>
                <w:sz w:val="18"/>
              </w:rPr>
              <w:t>R03</w:t>
            </w:r>
          </w:p>
        </w:tc>
        <w:tc>
          <w:tcPr>
            <w:tcW w:type="dxa" w:w="3231"/>
            <w:tcMar>
              <w:top w:w="100" w:type="dxa"/>
              <w:start w:w="140" w:type="dxa"/>
              <w:bottom w:w="100" w:type="dxa"/>
              <w:end w:w="140" w:type="dxa"/>
            </w:tcMar>
            <w:vAlign w:val="center"/>
          </w:tcPr>
          <w:p>
            <w:pPr>
              <w:spacing w:after="0"/>
            </w:pPr>
            <w:r>
              <w:rPr>
                <w:rFonts w:ascii="Arial" w:hAnsi="Arial"/>
                <w:b w:val="0"/>
                <w:i w:val="0"/>
                <w:color w:val="20282D"/>
                <w:sz w:val="18"/>
              </w:rPr>
              <w:t>La fissure travaille.</w:t>
            </w:r>
          </w:p>
        </w:tc>
        <w:tc>
          <w:tcPr>
            <w:tcW w:type="dxa" w:w="5952"/>
            <w:tcMar>
              <w:top w:w="100" w:type="dxa"/>
              <w:start w:w="140" w:type="dxa"/>
              <w:bottom w:w="100" w:type="dxa"/>
              <w:end w:w="140" w:type="dxa"/>
            </w:tcMar>
            <w:vAlign w:val="center"/>
          </w:tcPr>
          <w:p>
            <w:pPr>
              <w:spacing w:after="0"/>
            </w:pPr>
            <w:r>
              <w:rPr>
                <w:rFonts w:ascii="Arial" w:hAnsi="Arial"/>
                <w:b w:val="0"/>
                <w:i w:val="0"/>
                <w:color w:val="20282D"/>
                <w:sz w:val="18"/>
              </w:rPr>
              <w:t>Une ouverture linéaire est visible dans la finition ; son évolution n'est pas établie par la visite unique.</w:t>
            </w:r>
          </w:p>
        </w:tc>
      </w:tr>
      <w:tr>
        <w:tc>
          <w:tcPr>
            <w:tcW w:type="dxa" w:w="737"/>
            <w:tcMar>
              <w:top w:w="100" w:type="dxa"/>
              <w:start w:w="140" w:type="dxa"/>
              <w:bottom w:w="100" w:type="dxa"/>
              <w:end w:w="140" w:type="dxa"/>
            </w:tcMar>
            <w:vAlign w:val="center"/>
          </w:tcPr>
          <w:p>
            <w:pPr>
              <w:spacing w:after="0"/>
            </w:pPr>
            <w:r>
              <w:rPr>
                <w:rFonts w:ascii="Arial" w:hAnsi="Arial"/>
                <w:b w:val="0"/>
                <w:i w:val="0"/>
                <w:color w:val="20282D"/>
                <w:sz w:val="18"/>
              </w:rPr>
              <w:t>R04</w:t>
            </w:r>
          </w:p>
        </w:tc>
        <w:tc>
          <w:tcPr>
            <w:tcW w:type="dxa" w:w="3231"/>
            <w:tcMar>
              <w:top w:w="100" w:type="dxa"/>
              <w:start w:w="140" w:type="dxa"/>
              <w:bottom w:w="100" w:type="dxa"/>
              <w:end w:w="140" w:type="dxa"/>
            </w:tcMar>
            <w:vAlign w:val="center"/>
          </w:tcPr>
          <w:p>
            <w:pPr>
              <w:spacing w:after="0"/>
            </w:pPr>
            <w:r>
              <w:rPr>
                <w:rFonts w:ascii="Arial" w:hAnsi="Arial"/>
                <w:b w:val="0"/>
                <w:i w:val="0"/>
                <w:color w:val="20282D"/>
                <w:sz w:val="18"/>
              </w:rPr>
              <w:t>Le plan prouve la conformité de l'ouvrage.</w:t>
            </w:r>
          </w:p>
        </w:tc>
        <w:tc>
          <w:tcPr>
            <w:tcW w:type="dxa" w:w="5952"/>
            <w:tcMar>
              <w:top w:w="100" w:type="dxa"/>
              <w:start w:w="140" w:type="dxa"/>
              <w:bottom w:w="100" w:type="dxa"/>
              <w:end w:w="140" w:type="dxa"/>
            </w:tcMar>
            <w:vAlign w:val="center"/>
          </w:tcPr>
          <w:p>
            <w:pPr>
              <w:spacing w:after="0"/>
            </w:pPr>
            <w:r>
              <w:rPr>
                <w:rFonts w:ascii="Arial" w:hAnsi="Arial"/>
                <w:b w:val="0"/>
                <w:i w:val="0"/>
                <w:color w:val="20282D"/>
                <w:sz w:val="18"/>
              </w:rPr>
              <w:t>Le plan transmis décrit une géométrie projetée ; sa conformité à l'exécution n'est pas démontrée.</w:t>
            </w:r>
          </w:p>
        </w:tc>
      </w:tr>
      <w:tr>
        <w:tc>
          <w:tcPr>
            <w:tcW w:type="dxa" w:w="737"/>
            <w:tcMar>
              <w:top w:w="100" w:type="dxa"/>
              <w:start w:w="140" w:type="dxa"/>
              <w:bottom w:w="100" w:type="dxa"/>
              <w:end w:w="140" w:type="dxa"/>
            </w:tcMar>
            <w:vAlign w:val="center"/>
          </w:tcPr>
          <w:p>
            <w:pPr>
              <w:spacing w:after="0"/>
            </w:pPr>
            <w:r>
              <w:rPr>
                <w:rFonts w:ascii="Arial" w:hAnsi="Arial"/>
                <w:b w:val="0"/>
                <w:i w:val="0"/>
                <w:color w:val="20282D"/>
                <w:sz w:val="18"/>
              </w:rPr>
              <w:t>R05</w:t>
            </w:r>
          </w:p>
        </w:tc>
        <w:tc>
          <w:tcPr>
            <w:tcW w:type="dxa" w:w="3231"/>
            <w:tcMar>
              <w:top w:w="100" w:type="dxa"/>
              <w:start w:w="140" w:type="dxa"/>
              <w:bottom w:w="100" w:type="dxa"/>
              <w:end w:w="140" w:type="dxa"/>
            </w:tcMar>
            <w:vAlign w:val="center"/>
          </w:tcPr>
          <w:p>
            <w:pPr>
              <w:spacing w:after="0"/>
            </w:pPr>
            <w:r>
              <w:rPr>
                <w:rFonts w:ascii="Arial" w:hAnsi="Arial"/>
                <w:b w:val="0"/>
                <w:i w:val="0"/>
                <w:color w:val="20282D"/>
                <w:sz w:val="18"/>
              </w:rPr>
              <w:t>Il n'y a aucun réseau dans cette zone.</w:t>
            </w:r>
          </w:p>
        </w:tc>
        <w:tc>
          <w:tcPr>
            <w:tcW w:type="dxa" w:w="5952"/>
            <w:tcMar>
              <w:top w:w="100" w:type="dxa"/>
              <w:start w:w="140" w:type="dxa"/>
              <w:bottom w:w="100" w:type="dxa"/>
              <w:end w:w="140" w:type="dxa"/>
            </w:tcMar>
            <w:vAlign w:val="center"/>
          </w:tcPr>
          <w:p>
            <w:pPr>
              <w:spacing w:after="0"/>
            </w:pPr>
            <w:r>
              <w:rPr>
                <w:rFonts w:ascii="Arial" w:hAnsi="Arial"/>
                <w:b w:val="0"/>
                <w:i w:val="0"/>
                <w:color w:val="20282D"/>
                <w:sz w:val="18"/>
              </w:rPr>
              <w:t>P11 ne figure pas de réseau dans la zone ; sa révision et l'exécution réelle ne sont pas établies.</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AF0F3"/>
            <w:tcMar>
              <w:top w:w="130" w:type="dxa"/>
              <w:start w:w="170" w:type="dxa"/>
              <w:bottom w:w="130" w:type="dxa"/>
              <w:end w:w="170" w:type="dxa"/>
            </w:tcMar>
            <w:vAlign w:val="center"/>
          </w:tcPr>
          <w:p>
            <w:pPr>
              <w:spacing w:after="0"/>
            </w:pPr>
            <w:r>
              <w:rPr>
                <w:rFonts w:ascii="Arial" w:hAnsi="Arial"/>
                <w:b/>
                <w:i w:val="0"/>
                <w:color w:val="994A28"/>
                <w:sz w:val="21"/>
              </w:rPr>
              <w:t xml:space="preserve">À retenir — </w:t>
            </w:r>
            <w:r>
              <w:rPr>
                <w:rFonts w:ascii="Arial" w:hAnsi="Arial"/>
                <w:b w:val="0"/>
                <w:i w:val="0"/>
                <w:color w:val="20282D"/>
                <w:sz w:val="21"/>
              </w:rPr>
              <w:t>La meilleure réécriture n'est pas forcément la plus longue : elle attribue l'information, explicite l'inférence et nomme seulement la limite qui affecte la portée.</w:t>
            </w:r>
          </w:p>
        </w:tc>
      </w:tr>
    </w:tbl>
    <w:p>
      <w:pPr>
        <w:spacing w:after="20"/>
      </w:pPr>
    </w:p>
    <w:p>
      <w:r>
        <w:br w:type="page"/>
      </w:r>
    </w:p>
    <w:p>
      <w:pPr>
        <w:pStyle w:val="Heading1"/>
      </w:pPr>
      <w:r>
        <w:t>Corrigé - phrases R06 à R10</w:t>
      </w:r>
    </w:p>
    <w:tbl>
      <w:tblPr>
        <w:tblStyle w:val="TableGrid"/>
        <w:jc w:val="center"/>
        <w:tblLook w:firstColumn="1" w:firstRow="1" w:lastColumn="0" w:lastRow="0" w:noHBand="0" w:noVBand="1" w:val="04A0"/>
        <w:tblW w:w="9920" w:type="dxa"/>
        <w:tblInd w:w="0" w:type="dxa"/>
        <w:tblLayout w:type="fixed"/>
      </w:tblPr>
      <w:tblGrid>
        <w:gridCol w:w="737"/>
        <w:gridCol w:w="3231"/>
        <w:gridCol w:w="5952"/>
      </w:tblGrid>
      <w:tr>
        <w:trPr>
          <w:tblHeader w:val="true"/>
        </w:trPr>
        <w:tc>
          <w:tcPr>
            <w:tcW w:type="dxa" w:w="737"/>
            <w:shd w:fill="243746"/>
            <w:tcMar>
              <w:top w:w="100" w:type="dxa"/>
              <w:start w:w="140" w:type="dxa"/>
              <w:bottom w:w="100" w:type="dxa"/>
              <w:end w:w="140" w:type="dxa"/>
            </w:tcMar>
            <w:vAlign w:val="center"/>
          </w:tcPr>
          <w:p>
            <w:pPr>
              <w:spacing w:after="0"/>
              <w:jc w:val="left"/>
            </w:pPr>
            <w:r>
              <w:rPr>
                <w:rFonts w:ascii="Arial" w:hAnsi="Arial"/>
                <w:b/>
                <w:i w:val="0"/>
                <w:color w:val="FFFFFF"/>
                <w:sz w:val="18"/>
              </w:rPr>
              <w:t>ID</w:t>
            </w:r>
          </w:p>
        </w:tc>
        <w:tc>
          <w:tcPr>
            <w:tcW w:type="dxa" w:w="3231"/>
            <w:shd w:fill="243746"/>
            <w:tcMar>
              <w:top w:w="100" w:type="dxa"/>
              <w:start w:w="140" w:type="dxa"/>
              <w:bottom w:w="100" w:type="dxa"/>
              <w:end w:w="140" w:type="dxa"/>
            </w:tcMar>
            <w:vAlign w:val="center"/>
          </w:tcPr>
          <w:p>
            <w:pPr>
              <w:spacing w:after="0"/>
              <w:jc w:val="left"/>
            </w:pPr>
            <w:r>
              <w:rPr>
                <w:rFonts w:ascii="Arial" w:hAnsi="Arial"/>
                <w:b/>
                <w:i w:val="0"/>
                <w:color w:val="FFFFFF"/>
                <w:sz w:val="18"/>
              </w:rPr>
              <w:t>Formulation fragile</w:t>
            </w:r>
          </w:p>
        </w:tc>
        <w:tc>
          <w:tcPr>
            <w:tcW w:type="dxa" w:w="5952"/>
            <w:shd w:fill="243746"/>
            <w:tcMar>
              <w:top w:w="100" w:type="dxa"/>
              <w:start w:w="140" w:type="dxa"/>
              <w:bottom w:w="100" w:type="dxa"/>
              <w:end w:w="140" w:type="dxa"/>
            </w:tcMar>
            <w:vAlign w:val="center"/>
          </w:tcPr>
          <w:p>
            <w:pPr>
              <w:spacing w:after="0"/>
              <w:jc w:val="left"/>
            </w:pPr>
            <w:r>
              <w:rPr>
                <w:rFonts w:ascii="Arial" w:hAnsi="Arial"/>
                <w:b/>
                <w:i w:val="0"/>
                <w:color w:val="FFFFFF"/>
                <w:sz w:val="18"/>
              </w:rPr>
              <w:t>Réécriture indicative</w:t>
            </w:r>
          </w:p>
        </w:tc>
      </w:tr>
      <w:tr>
        <w:tc>
          <w:tcPr>
            <w:tcW w:type="dxa" w:w="737"/>
            <w:tcMar>
              <w:top w:w="100" w:type="dxa"/>
              <w:start w:w="140" w:type="dxa"/>
              <w:bottom w:w="100" w:type="dxa"/>
              <w:end w:w="140" w:type="dxa"/>
            </w:tcMar>
            <w:vAlign w:val="center"/>
          </w:tcPr>
          <w:p>
            <w:pPr>
              <w:spacing w:after="0"/>
            </w:pPr>
            <w:r>
              <w:rPr>
                <w:rFonts w:ascii="Arial" w:hAnsi="Arial"/>
                <w:b w:val="0"/>
                <w:i w:val="0"/>
                <w:color w:val="20282D"/>
                <w:sz w:val="18"/>
              </w:rPr>
              <w:t>R06</w:t>
            </w:r>
          </w:p>
        </w:tc>
        <w:tc>
          <w:tcPr>
            <w:tcW w:type="dxa" w:w="3231"/>
            <w:tcMar>
              <w:top w:w="100" w:type="dxa"/>
              <w:start w:w="140" w:type="dxa"/>
              <w:bottom w:w="100" w:type="dxa"/>
              <w:end w:w="140" w:type="dxa"/>
            </w:tcMar>
            <w:vAlign w:val="center"/>
          </w:tcPr>
          <w:p>
            <w:pPr>
              <w:spacing w:after="0"/>
            </w:pPr>
            <w:r>
              <w:rPr>
                <w:rFonts w:ascii="Arial" w:hAnsi="Arial"/>
                <w:b w:val="0"/>
                <w:i w:val="0"/>
                <w:color w:val="20282D"/>
                <w:sz w:val="18"/>
              </w:rPr>
              <w:t>Les infiltrations ont commencé en octobre.</w:t>
            </w:r>
          </w:p>
        </w:tc>
        <w:tc>
          <w:tcPr>
            <w:tcW w:type="dxa" w:w="5952"/>
            <w:tcMar>
              <w:top w:w="100" w:type="dxa"/>
              <w:start w:w="140" w:type="dxa"/>
              <w:bottom w:w="100" w:type="dxa"/>
              <w:end w:w="140" w:type="dxa"/>
            </w:tcMar>
            <w:vAlign w:val="center"/>
          </w:tcPr>
          <w:p>
            <w:pPr>
              <w:spacing w:after="0"/>
            </w:pPr>
            <w:r>
              <w:rPr>
                <w:rFonts w:ascii="Arial" w:hAnsi="Arial"/>
                <w:b w:val="0"/>
                <w:i w:val="0"/>
                <w:color w:val="20282D"/>
                <w:sz w:val="18"/>
              </w:rPr>
              <w:t>L'occupant situe en octobre la première auréole dont il se souvient ; aucune vue datée de cette période n'est communiquée.</w:t>
            </w:r>
          </w:p>
        </w:tc>
      </w:tr>
      <w:tr>
        <w:tc>
          <w:tcPr>
            <w:tcW w:type="dxa" w:w="737"/>
            <w:tcMar>
              <w:top w:w="100" w:type="dxa"/>
              <w:start w:w="140" w:type="dxa"/>
              <w:bottom w:w="100" w:type="dxa"/>
              <w:end w:w="140" w:type="dxa"/>
            </w:tcMar>
            <w:vAlign w:val="center"/>
          </w:tcPr>
          <w:p>
            <w:pPr>
              <w:spacing w:after="0"/>
            </w:pPr>
            <w:r>
              <w:rPr>
                <w:rFonts w:ascii="Arial" w:hAnsi="Arial"/>
                <w:b w:val="0"/>
                <w:i w:val="0"/>
                <w:color w:val="20282D"/>
                <w:sz w:val="18"/>
              </w:rPr>
              <w:t>R07</w:t>
            </w:r>
          </w:p>
        </w:tc>
        <w:tc>
          <w:tcPr>
            <w:tcW w:type="dxa" w:w="3231"/>
            <w:tcMar>
              <w:top w:w="100" w:type="dxa"/>
              <w:start w:w="140" w:type="dxa"/>
              <w:bottom w:w="100" w:type="dxa"/>
              <w:end w:w="140" w:type="dxa"/>
            </w:tcMar>
            <w:vAlign w:val="center"/>
          </w:tcPr>
          <w:p>
            <w:pPr>
              <w:spacing w:after="0"/>
            </w:pPr>
            <w:r>
              <w:rPr>
                <w:rFonts w:ascii="Arial" w:hAnsi="Arial"/>
                <w:b w:val="0"/>
                <w:i w:val="0"/>
                <w:color w:val="20282D"/>
                <w:sz w:val="18"/>
              </w:rPr>
              <w:t>La photographie montre une fuite de toiture.</w:t>
            </w:r>
          </w:p>
        </w:tc>
        <w:tc>
          <w:tcPr>
            <w:tcW w:type="dxa" w:w="5952"/>
            <w:tcMar>
              <w:top w:w="100" w:type="dxa"/>
              <w:start w:w="140" w:type="dxa"/>
              <w:bottom w:w="100" w:type="dxa"/>
              <w:end w:w="140" w:type="dxa"/>
            </w:tcMar>
            <w:vAlign w:val="center"/>
          </w:tcPr>
          <w:p>
            <w:pPr>
              <w:spacing w:after="0"/>
            </w:pPr>
            <w:r>
              <w:rPr>
                <w:rFonts w:ascii="Arial" w:hAnsi="Arial"/>
                <w:b w:val="0"/>
                <w:i w:val="0"/>
                <w:color w:val="20282D"/>
                <w:sz w:val="18"/>
              </w:rPr>
              <w:t>PH-07 montre une auréole sous la toiture-terrasse ; elle ne localise pas l'apport ni son trajet.</w:t>
            </w:r>
          </w:p>
        </w:tc>
      </w:tr>
      <w:tr>
        <w:tc>
          <w:tcPr>
            <w:tcW w:type="dxa" w:w="737"/>
            <w:tcMar>
              <w:top w:w="100" w:type="dxa"/>
              <w:start w:w="140" w:type="dxa"/>
              <w:bottom w:w="100" w:type="dxa"/>
              <w:end w:w="140" w:type="dxa"/>
            </w:tcMar>
            <w:vAlign w:val="center"/>
          </w:tcPr>
          <w:p>
            <w:pPr>
              <w:spacing w:after="0"/>
            </w:pPr>
            <w:r>
              <w:rPr>
                <w:rFonts w:ascii="Arial" w:hAnsi="Arial"/>
                <w:b w:val="0"/>
                <w:i w:val="0"/>
                <w:color w:val="20282D"/>
                <w:sz w:val="18"/>
              </w:rPr>
              <w:t>R08</w:t>
            </w:r>
          </w:p>
        </w:tc>
        <w:tc>
          <w:tcPr>
            <w:tcW w:type="dxa" w:w="3231"/>
            <w:tcMar>
              <w:top w:w="100" w:type="dxa"/>
              <w:start w:w="140" w:type="dxa"/>
              <w:bottom w:w="100" w:type="dxa"/>
              <w:end w:w="140" w:type="dxa"/>
            </w:tcMar>
            <w:vAlign w:val="center"/>
          </w:tcPr>
          <w:p>
            <w:pPr>
              <w:spacing w:after="0"/>
            </w:pPr>
            <w:r>
              <w:rPr>
                <w:rFonts w:ascii="Arial" w:hAnsi="Arial"/>
                <w:b w:val="0"/>
                <w:i w:val="0"/>
                <w:color w:val="20282D"/>
                <w:sz w:val="18"/>
              </w:rPr>
              <w:t>La reprise a supprimé définitivement le problème.</w:t>
            </w:r>
          </w:p>
        </w:tc>
        <w:tc>
          <w:tcPr>
            <w:tcW w:type="dxa" w:w="5952"/>
            <w:tcMar>
              <w:top w:w="100" w:type="dxa"/>
              <w:start w:w="140" w:type="dxa"/>
              <w:bottom w:w="100" w:type="dxa"/>
              <w:end w:w="140" w:type="dxa"/>
            </w:tcMar>
            <w:vAlign w:val="center"/>
          </w:tcPr>
          <w:p>
            <w:pPr>
              <w:spacing w:after="0"/>
            </w:pPr>
            <w:r>
              <w:rPr>
                <w:rFonts w:ascii="Arial" w:hAnsi="Arial"/>
                <w:b w:val="0"/>
                <w:i w:val="0"/>
                <w:color w:val="20282D"/>
                <w:sz w:val="18"/>
              </w:rPr>
              <w:t>P05 mentionne une reprise facturée ; son effet durable sur la manifestation n'est pas documenté.</w:t>
            </w:r>
          </w:p>
        </w:tc>
      </w:tr>
      <w:tr>
        <w:tc>
          <w:tcPr>
            <w:tcW w:type="dxa" w:w="737"/>
            <w:tcMar>
              <w:top w:w="100" w:type="dxa"/>
              <w:start w:w="140" w:type="dxa"/>
              <w:bottom w:w="100" w:type="dxa"/>
              <w:end w:w="140" w:type="dxa"/>
            </w:tcMar>
            <w:vAlign w:val="center"/>
          </w:tcPr>
          <w:p>
            <w:pPr>
              <w:spacing w:after="0"/>
            </w:pPr>
            <w:r>
              <w:rPr>
                <w:rFonts w:ascii="Arial" w:hAnsi="Arial"/>
                <w:b w:val="0"/>
                <w:i w:val="0"/>
                <w:color w:val="20282D"/>
                <w:sz w:val="18"/>
              </w:rPr>
              <w:t>R09</w:t>
            </w:r>
          </w:p>
        </w:tc>
        <w:tc>
          <w:tcPr>
            <w:tcW w:type="dxa" w:w="3231"/>
            <w:tcMar>
              <w:top w:w="100" w:type="dxa"/>
              <w:start w:w="140" w:type="dxa"/>
              <w:bottom w:w="100" w:type="dxa"/>
              <w:end w:w="140" w:type="dxa"/>
            </w:tcMar>
            <w:vAlign w:val="center"/>
          </w:tcPr>
          <w:p>
            <w:pPr>
              <w:spacing w:after="0"/>
            </w:pPr>
            <w:r>
              <w:rPr>
                <w:rFonts w:ascii="Arial" w:hAnsi="Arial"/>
                <w:b w:val="0"/>
                <w:i w:val="0"/>
                <w:color w:val="20282D"/>
                <w:sz w:val="18"/>
              </w:rPr>
              <w:t>Le support était sec, donc il n'y a pas d'entrée d'eau.</w:t>
            </w:r>
          </w:p>
        </w:tc>
        <w:tc>
          <w:tcPr>
            <w:tcW w:type="dxa" w:w="5952"/>
            <w:tcMar>
              <w:top w:w="100" w:type="dxa"/>
              <w:start w:w="140" w:type="dxa"/>
              <w:bottom w:w="100" w:type="dxa"/>
              <w:end w:w="140" w:type="dxa"/>
            </w:tcMar>
            <w:vAlign w:val="center"/>
          </w:tcPr>
          <w:p>
            <w:pPr>
              <w:spacing w:after="0"/>
            </w:pPr>
            <w:r>
              <w:rPr>
                <w:rFonts w:ascii="Arial" w:hAnsi="Arial"/>
                <w:b w:val="0"/>
                <w:i w:val="0"/>
                <w:color w:val="20282D"/>
                <w:sz w:val="18"/>
              </w:rPr>
              <w:t>Le support était sec lors d'une visite hors pluie ; cet instant unique n'exclut pas un apport intermittent.</w:t>
            </w:r>
          </w:p>
        </w:tc>
      </w:tr>
      <w:tr>
        <w:tc>
          <w:tcPr>
            <w:tcW w:type="dxa" w:w="737"/>
            <w:tcMar>
              <w:top w:w="100" w:type="dxa"/>
              <w:start w:w="140" w:type="dxa"/>
              <w:bottom w:w="100" w:type="dxa"/>
              <w:end w:w="140" w:type="dxa"/>
            </w:tcMar>
            <w:vAlign w:val="center"/>
          </w:tcPr>
          <w:p>
            <w:pPr>
              <w:spacing w:after="0"/>
            </w:pPr>
            <w:r>
              <w:rPr>
                <w:rFonts w:ascii="Arial" w:hAnsi="Arial"/>
                <w:b w:val="0"/>
                <w:i w:val="0"/>
                <w:color w:val="20282D"/>
                <w:sz w:val="18"/>
              </w:rPr>
              <w:t>R10</w:t>
            </w:r>
          </w:p>
        </w:tc>
        <w:tc>
          <w:tcPr>
            <w:tcW w:type="dxa" w:w="3231"/>
            <w:tcMar>
              <w:top w:w="100" w:type="dxa"/>
              <w:start w:w="140" w:type="dxa"/>
              <w:bottom w:w="100" w:type="dxa"/>
              <w:end w:w="140" w:type="dxa"/>
            </w:tcMar>
            <w:vAlign w:val="center"/>
          </w:tcPr>
          <w:p>
            <w:pPr>
              <w:spacing w:after="0"/>
            </w:pPr>
            <w:r>
              <w:rPr>
                <w:rFonts w:ascii="Arial" w:hAnsi="Arial"/>
                <w:b w:val="0"/>
                <w:i w:val="0"/>
                <w:color w:val="20282D"/>
                <w:sz w:val="18"/>
              </w:rPr>
              <w:t>Les deux désordres ont évidemment la même cause.</w:t>
            </w:r>
          </w:p>
        </w:tc>
        <w:tc>
          <w:tcPr>
            <w:tcW w:type="dxa" w:w="5952"/>
            <w:tcMar>
              <w:top w:w="100" w:type="dxa"/>
              <w:start w:w="140" w:type="dxa"/>
              <w:bottom w:w="100" w:type="dxa"/>
              <w:end w:w="140" w:type="dxa"/>
            </w:tcMar>
            <w:vAlign w:val="center"/>
          </w:tcPr>
          <w:p>
            <w:pPr>
              <w:spacing w:after="0"/>
            </w:pPr>
            <w:r>
              <w:rPr>
                <w:rFonts w:ascii="Arial" w:hAnsi="Arial"/>
                <w:b w:val="0"/>
                <w:i w:val="0"/>
                <w:color w:val="20282D"/>
                <w:sz w:val="18"/>
              </w:rPr>
              <w:t>La fissure et l'auréole sont instruites séparément ; un mécanisme commun ne sera retenu que s'il est soutenu par les pièces.</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AF0F3"/>
            <w:tcMar>
              <w:top w:w="130" w:type="dxa"/>
              <w:start w:w="170" w:type="dxa"/>
              <w:bottom w:w="130" w:type="dxa"/>
              <w:end w:w="170" w:type="dxa"/>
            </w:tcMar>
            <w:vAlign w:val="center"/>
          </w:tcPr>
          <w:p>
            <w:pPr>
              <w:spacing w:after="0"/>
            </w:pPr>
            <w:r>
              <w:rPr>
                <w:rFonts w:ascii="Arial" w:hAnsi="Arial"/>
                <w:b/>
                <w:i w:val="0"/>
                <w:color w:val="994A28"/>
                <w:sz w:val="21"/>
              </w:rPr>
              <w:t xml:space="preserve">À retenir — </w:t>
            </w:r>
            <w:r>
              <w:rPr>
                <w:rFonts w:ascii="Arial" w:hAnsi="Arial"/>
                <w:b w:val="0"/>
                <w:i w:val="0"/>
                <w:color w:val="20282D"/>
                <w:sz w:val="21"/>
              </w:rPr>
              <w:t>La meilleure réécriture n'est pas forcément la plus longue : elle attribue l'information, explicite l'inférence et nomme seulement la limite qui affecte la portée.</w:t>
            </w:r>
          </w:p>
        </w:tc>
      </w:tr>
    </w:tbl>
    <w:p>
      <w:pPr>
        <w:spacing w:after="20"/>
      </w:pPr>
    </w:p>
    <w:p>
      <w:r>
        <w:br w:type="page"/>
      </w:r>
    </w:p>
    <w:p>
      <w:pPr>
        <w:pStyle w:val="Heading1"/>
      </w:pPr>
      <w:r>
        <w:t>Corrigé - phrases R11 à R15</w:t>
      </w:r>
    </w:p>
    <w:tbl>
      <w:tblPr>
        <w:tblStyle w:val="TableGrid"/>
        <w:jc w:val="center"/>
        <w:tblLook w:firstColumn="1" w:firstRow="1" w:lastColumn="0" w:lastRow="0" w:noHBand="0" w:noVBand="1" w:val="04A0"/>
        <w:tblW w:w="9920" w:type="dxa"/>
        <w:tblInd w:w="0" w:type="dxa"/>
        <w:tblLayout w:type="fixed"/>
      </w:tblPr>
      <w:tblGrid>
        <w:gridCol w:w="737"/>
        <w:gridCol w:w="3231"/>
        <w:gridCol w:w="5952"/>
      </w:tblGrid>
      <w:tr>
        <w:trPr>
          <w:tblHeader w:val="true"/>
        </w:trPr>
        <w:tc>
          <w:tcPr>
            <w:tcW w:type="dxa" w:w="737"/>
            <w:shd w:fill="243746"/>
            <w:tcMar>
              <w:top w:w="100" w:type="dxa"/>
              <w:start w:w="140" w:type="dxa"/>
              <w:bottom w:w="100" w:type="dxa"/>
              <w:end w:w="140" w:type="dxa"/>
            </w:tcMar>
            <w:vAlign w:val="center"/>
          </w:tcPr>
          <w:p>
            <w:pPr>
              <w:spacing w:after="0"/>
              <w:jc w:val="left"/>
            </w:pPr>
            <w:r>
              <w:rPr>
                <w:rFonts w:ascii="Arial" w:hAnsi="Arial"/>
                <w:b/>
                <w:i w:val="0"/>
                <w:color w:val="FFFFFF"/>
                <w:sz w:val="18"/>
              </w:rPr>
              <w:t>ID</w:t>
            </w:r>
          </w:p>
        </w:tc>
        <w:tc>
          <w:tcPr>
            <w:tcW w:type="dxa" w:w="3231"/>
            <w:shd w:fill="243746"/>
            <w:tcMar>
              <w:top w:w="100" w:type="dxa"/>
              <w:start w:w="140" w:type="dxa"/>
              <w:bottom w:w="100" w:type="dxa"/>
              <w:end w:w="140" w:type="dxa"/>
            </w:tcMar>
            <w:vAlign w:val="center"/>
          </w:tcPr>
          <w:p>
            <w:pPr>
              <w:spacing w:after="0"/>
              <w:jc w:val="left"/>
            </w:pPr>
            <w:r>
              <w:rPr>
                <w:rFonts w:ascii="Arial" w:hAnsi="Arial"/>
                <w:b/>
                <w:i w:val="0"/>
                <w:color w:val="FFFFFF"/>
                <w:sz w:val="18"/>
              </w:rPr>
              <w:t>Formulation fragile</w:t>
            </w:r>
          </w:p>
        </w:tc>
        <w:tc>
          <w:tcPr>
            <w:tcW w:type="dxa" w:w="5952"/>
            <w:shd w:fill="243746"/>
            <w:tcMar>
              <w:top w:w="100" w:type="dxa"/>
              <w:start w:w="140" w:type="dxa"/>
              <w:bottom w:w="100" w:type="dxa"/>
              <w:end w:w="140" w:type="dxa"/>
            </w:tcMar>
            <w:vAlign w:val="center"/>
          </w:tcPr>
          <w:p>
            <w:pPr>
              <w:spacing w:after="0"/>
              <w:jc w:val="left"/>
            </w:pPr>
            <w:r>
              <w:rPr>
                <w:rFonts w:ascii="Arial" w:hAnsi="Arial"/>
                <w:b/>
                <w:i w:val="0"/>
                <w:color w:val="FFFFFF"/>
                <w:sz w:val="18"/>
              </w:rPr>
              <w:t>Réécriture indicative</w:t>
            </w:r>
          </w:p>
        </w:tc>
      </w:tr>
      <w:tr>
        <w:tc>
          <w:tcPr>
            <w:tcW w:type="dxa" w:w="737"/>
            <w:tcMar>
              <w:top w:w="100" w:type="dxa"/>
              <w:start w:w="140" w:type="dxa"/>
              <w:bottom w:w="100" w:type="dxa"/>
              <w:end w:w="140" w:type="dxa"/>
            </w:tcMar>
            <w:vAlign w:val="center"/>
          </w:tcPr>
          <w:p>
            <w:pPr>
              <w:spacing w:after="0"/>
            </w:pPr>
            <w:r>
              <w:rPr>
                <w:rFonts w:ascii="Arial" w:hAnsi="Arial"/>
                <w:b w:val="0"/>
                <w:i w:val="0"/>
                <w:color w:val="20282D"/>
                <w:sz w:val="18"/>
              </w:rPr>
              <w:t>R11</w:t>
            </w:r>
          </w:p>
        </w:tc>
        <w:tc>
          <w:tcPr>
            <w:tcW w:type="dxa" w:w="3231"/>
            <w:tcMar>
              <w:top w:w="100" w:type="dxa"/>
              <w:start w:w="140" w:type="dxa"/>
              <w:bottom w:w="100" w:type="dxa"/>
              <w:end w:w="140" w:type="dxa"/>
            </w:tcMar>
            <w:vAlign w:val="center"/>
          </w:tcPr>
          <w:p>
            <w:pPr>
              <w:spacing w:after="0"/>
            </w:pPr>
            <w:r>
              <w:rPr>
                <w:rFonts w:ascii="Arial" w:hAnsi="Arial"/>
                <w:b w:val="0"/>
                <w:i w:val="0"/>
                <w:color w:val="20282D"/>
                <w:sz w:val="18"/>
              </w:rPr>
              <w:t>La fissure est structurelle.</w:t>
            </w:r>
          </w:p>
        </w:tc>
        <w:tc>
          <w:tcPr>
            <w:tcW w:type="dxa" w:w="5952"/>
            <w:tcMar>
              <w:top w:w="100" w:type="dxa"/>
              <w:start w:w="140" w:type="dxa"/>
              <w:bottom w:w="100" w:type="dxa"/>
              <w:end w:w="140" w:type="dxa"/>
            </w:tcMar>
            <w:vAlign w:val="center"/>
          </w:tcPr>
          <w:p>
            <w:pPr>
              <w:spacing w:after="0"/>
            </w:pPr>
            <w:r>
              <w:rPr>
                <w:rFonts w:ascii="Arial" w:hAnsi="Arial"/>
                <w:b w:val="0"/>
                <w:i w:val="0"/>
                <w:color w:val="20282D"/>
                <w:sz w:val="18"/>
              </w:rPr>
              <w:t>La fissure affecte la finition visible ; l'état des supports non visibles n'est pas caractérisé.</w:t>
            </w:r>
          </w:p>
        </w:tc>
      </w:tr>
      <w:tr>
        <w:tc>
          <w:tcPr>
            <w:tcW w:type="dxa" w:w="737"/>
            <w:tcMar>
              <w:top w:w="100" w:type="dxa"/>
              <w:start w:w="140" w:type="dxa"/>
              <w:bottom w:w="100" w:type="dxa"/>
              <w:end w:w="140" w:type="dxa"/>
            </w:tcMar>
            <w:vAlign w:val="center"/>
          </w:tcPr>
          <w:p>
            <w:pPr>
              <w:spacing w:after="0"/>
            </w:pPr>
            <w:r>
              <w:rPr>
                <w:rFonts w:ascii="Arial" w:hAnsi="Arial"/>
                <w:b w:val="0"/>
                <w:i w:val="0"/>
                <w:color w:val="20282D"/>
                <w:sz w:val="18"/>
              </w:rPr>
              <w:t>R12</w:t>
            </w:r>
          </w:p>
        </w:tc>
        <w:tc>
          <w:tcPr>
            <w:tcW w:type="dxa" w:w="3231"/>
            <w:tcMar>
              <w:top w:w="100" w:type="dxa"/>
              <w:start w:w="140" w:type="dxa"/>
              <w:bottom w:w="100" w:type="dxa"/>
              <w:end w:w="140" w:type="dxa"/>
            </w:tcMar>
            <w:vAlign w:val="center"/>
          </w:tcPr>
          <w:p>
            <w:pPr>
              <w:spacing w:after="0"/>
            </w:pPr>
            <w:r>
              <w:rPr>
                <w:rFonts w:ascii="Arial" w:hAnsi="Arial"/>
                <w:b w:val="0"/>
                <w:i w:val="0"/>
                <w:color w:val="20282D"/>
                <w:sz w:val="18"/>
              </w:rPr>
              <w:t>L'auréole est ancienne et sans conséquence.</w:t>
            </w:r>
          </w:p>
        </w:tc>
        <w:tc>
          <w:tcPr>
            <w:tcW w:type="dxa" w:w="5952"/>
            <w:tcMar>
              <w:top w:w="100" w:type="dxa"/>
              <w:start w:w="140" w:type="dxa"/>
              <w:bottom w:w="100" w:type="dxa"/>
              <w:end w:w="140" w:type="dxa"/>
            </w:tcMar>
            <w:vAlign w:val="center"/>
          </w:tcPr>
          <w:p>
            <w:pPr>
              <w:spacing w:after="0"/>
            </w:pPr>
            <w:r>
              <w:rPr>
                <w:rFonts w:ascii="Arial" w:hAnsi="Arial"/>
                <w:b w:val="0"/>
                <w:i w:val="0"/>
                <w:color w:val="20282D"/>
                <w:sz w:val="18"/>
              </w:rPr>
              <w:t>L'aspect de l'auréole est documenté ; son ancienneté et ses effets restent à établir.</w:t>
            </w:r>
          </w:p>
        </w:tc>
      </w:tr>
      <w:tr>
        <w:tc>
          <w:tcPr>
            <w:tcW w:type="dxa" w:w="737"/>
            <w:tcMar>
              <w:top w:w="100" w:type="dxa"/>
              <w:start w:w="140" w:type="dxa"/>
              <w:bottom w:w="100" w:type="dxa"/>
              <w:end w:w="140" w:type="dxa"/>
            </w:tcMar>
            <w:vAlign w:val="center"/>
          </w:tcPr>
          <w:p>
            <w:pPr>
              <w:spacing w:after="0"/>
            </w:pPr>
            <w:r>
              <w:rPr>
                <w:rFonts w:ascii="Arial" w:hAnsi="Arial"/>
                <w:b w:val="0"/>
                <w:i w:val="0"/>
                <w:color w:val="20282D"/>
                <w:sz w:val="18"/>
              </w:rPr>
              <w:t>R13</w:t>
            </w:r>
          </w:p>
        </w:tc>
        <w:tc>
          <w:tcPr>
            <w:tcW w:type="dxa" w:w="3231"/>
            <w:tcMar>
              <w:top w:w="100" w:type="dxa"/>
              <w:start w:w="140" w:type="dxa"/>
              <w:bottom w:w="100" w:type="dxa"/>
              <w:end w:w="140" w:type="dxa"/>
            </w:tcMar>
            <w:vAlign w:val="center"/>
          </w:tcPr>
          <w:p>
            <w:pPr>
              <w:spacing w:after="0"/>
            </w:pPr>
            <w:r>
              <w:rPr>
                <w:rFonts w:ascii="Arial" w:hAnsi="Arial"/>
                <w:b w:val="0"/>
                <w:i w:val="0"/>
                <w:color w:val="20282D"/>
                <w:sz w:val="18"/>
              </w:rPr>
              <w:t>Le témoignage confirme la date exacte.</w:t>
            </w:r>
          </w:p>
        </w:tc>
        <w:tc>
          <w:tcPr>
            <w:tcW w:type="dxa" w:w="5952"/>
            <w:tcMar>
              <w:top w:w="100" w:type="dxa"/>
              <w:start w:w="140" w:type="dxa"/>
              <w:bottom w:w="100" w:type="dxa"/>
              <w:end w:w="140" w:type="dxa"/>
            </w:tcMar>
            <w:vAlign w:val="center"/>
          </w:tcPr>
          <w:p>
            <w:pPr>
              <w:spacing w:after="0"/>
            </w:pPr>
            <w:r>
              <w:rPr>
                <w:rFonts w:ascii="Arial" w:hAnsi="Arial"/>
                <w:b w:val="0"/>
                <w:i w:val="0"/>
                <w:color w:val="20282D"/>
                <w:sz w:val="18"/>
              </w:rPr>
              <w:t>Le courriel attribue cette date à la mémoire de son auteur ; aucune pièce indépendante ne la confirme.</w:t>
            </w:r>
          </w:p>
        </w:tc>
      </w:tr>
      <w:tr>
        <w:tc>
          <w:tcPr>
            <w:tcW w:type="dxa" w:w="737"/>
            <w:tcMar>
              <w:top w:w="100" w:type="dxa"/>
              <w:start w:w="140" w:type="dxa"/>
              <w:bottom w:w="100" w:type="dxa"/>
              <w:end w:w="140" w:type="dxa"/>
            </w:tcMar>
            <w:vAlign w:val="center"/>
          </w:tcPr>
          <w:p>
            <w:pPr>
              <w:spacing w:after="0"/>
            </w:pPr>
            <w:r>
              <w:rPr>
                <w:rFonts w:ascii="Arial" w:hAnsi="Arial"/>
                <w:b w:val="0"/>
                <w:i w:val="0"/>
                <w:color w:val="20282D"/>
                <w:sz w:val="18"/>
              </w:rPr>
              <w:t>R14</w:t>
            </w:r>
          </w:p>
        </w:tc>
        <w:tc>
          <w:tcPr>
            <w:tcW w:type="dxa" w:w="3231"/>
            <w:tcMar>
              <w:top w:w="100" w:type="dxa"/>
              <w:start w:w="140" w:type="dxa"/>
              <w:bottom w:w="100" w:type="dxa"/>
              <w:end w:w="140" w:type="dxa"/>
            </w:tcMar>
            <w:vAlign w:val="center"/>
          </w:tcPr>
          <w:p>
            <w:pPr>
              <w:spacing w:after="0"/>
            </w:pPr>
            <w:r>
              <w:rPr>
                <w:rFonts w:ascii="Arial" w:hAnsi="Arial"/>
                <w:b w:val="0"/>
                <w:i w:val="0"/>
                <w:color w:val="20282D"/>
                <w:sz w:val="18"/>
              </w:rPr>
              <w:t>La facture démontre comment les travaux ont été réalisés.</w:t>
            </w:r>
          </w:p>
        </w:tc>
        <w:tc>
          <w:tcPr>
            <w:tcW w:type="dxa" w:w="5952"/>
            <w:tcMar>
              <w:top w:w="100" w:type="dxa"/>
              <w:start w:w="140" w:type="dxa"/>
              <w:bottom w:w="100" w:type="dxa"/>
              <w:end w:w="140" w:type="dxa"/>
            </w:tcMar>
            <w:vAlign w:val="center"/>
          </w:tcPr>
          <w:p>
            <w:pPr>
              <w:spacing w:after="0"/>
            </w:pPr>
            <w:r>
              <w:rPr>
                <w:rFonts w:ascii="Arial" w:hAnsi="Arial"/>
                <w:b w:val="0"/>
                <w:i w:val="0"/>
                <w:color w:val="20282D"/>
                <w:sz w:val="18"/>
              </w:rPr>
              <w:t>La facture établit une désignation commerciale de prestation, sans documenter à elle seule le mode opératoire.</w:t>
            </w:r>
          </w:p>
        </w:tc>
      </w:tr>
      <w:tr>
        <w:tc>
          <w:tcPr>
            <w:tcW w:type="dxa" w:w="737"/>
            <w:tcMar>
              <w:top w:w="100" w:type="dxa"/>
              <w:start w:w="140" w:type="dxa"/>
              <w:bottom w:w="100" w:type="dxa"/>
              <w:end w:w="140" w:type="dxa"/>
            </w:tcMar>
            <w:vAlign w:val="center"/>
          </w:tcPr>
          <w:p>
            <w:pPr>
              <w:spacing w:after="0"/>
            </w:pPr>
            <w:r>
              <w:rPr>
                <w:rFonts w:ascii="Arial" w:hAnsi="Arial"/>
                <w:b w:val="0"/>
                <w:i w:val="0"/>
                <w:color w:val="20282D"/>
                <w:sz w:val="18"/>
              </w:rPr>
              <w:t>R15</w:t>
            </w:r>
          </w:p>
        </w:tc>
        <w:tc>
          <w:tcPr>
            <w:tcW w:type="dxa" w:w="3231"/>
            <w:tcMar>
              <w:top w:w="100" w:type="dxa"/>
              <w:start w:w="140" w:type="dxa"/>
              <w:bottom w:w="100" w:type="dxa"/>
              <w:end w:w="140" w:type="dxa"/>
            </w:tcMar>
            <w:vAlign w:val="center"/>
          </w:tcPr>
          <w:p>
            <w:pPr>
              <w:spacing w:after="0"/>
            </w:pPr>
            <w:r>
              <w:rPr>
                <w:rFonts w:ascii="Arial" w:hAnsi="Arial"/>
                <w:b w:val="0"/>
                <w:i w:val="0"/>
                <w:color w:val="20282D"/>
                <w:sz w:val="18"/>
              </w:rPr>
              <w:t>L'autre technicien valide notre diagnostic.</w:t>
            </w:r>
          </w:p>
        </w:tc>
        <w:tc>
          <w:tcPr>
            <w:tcW w:type="dxa" w:w="5952"/>
            <w:tcMar>
              <w:top w:w="100" w:type="dxa"/>
              <w:start w:w="140" w:type="dxa"/>
              <w:bottom w:w="100" w:type="dxa"/>
              <w:end w:w="140" w:type="dxa"/>
            </w:tcMar>
            <w:vAlign w:val="center"/>
          </w:tcPr>
          <w:p>
            <w:pPr>
              <w:spacing w:after="0"/>
            </w:pPr>
            <w:r>
              <w:rPr>
                <w:rFonts w:ascii="Arial" w:hAnsi="Arial"/>
                <w:b w:val="0"/>
                <w:i w:val="0"/>
                <w:color w:val="20282D"/>
                <w:sz w:val="18"/>
              </w:rPr>
              <w:t>NT-01 limite son avis au plan partiel et conserve l'incertitude sur les tronçons masqués.</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AF0F3"/>
            <w:tcMar>
              <w:top w:w="130" w:type="dxa"/>
              <w:start w:w="170" w:type="dxa"/>
              <w:bottom w:w="130" w:type="dxa"/>
              <w:end w:w="170" w:type="dxa"/>
            </w:tcMar>
            <w:vAlign w:val="center"/>
          </w:tcPr>
          <w:p>
            <w:pPr>
              <w:spacing w:after="0"/>
            </w:pPr>
            <w:r>
              <w:rPr>
                <w:rFonts w:ascii="Arial" w:hAnsi="Arial"/>
                <w:b/>
                <w:i w:val="0"/>
                <w:color w:val="994A28"/>
                <w:sz w:val="21"/>
              </w:rPr>
              <w:t xml:space="preserve">À retenir — </w:t>
            </w:r>
            <w:r>
              <w:rPr>
                <w:rFonts w:ascii="Arial" w:hAnsi="Arial"/>
                <w:b w:val="0"/>
                <w:i w:val="0"/>
                <w:color w:val="20282D"/>
                <w:sz w:val="21"/>
              </w:rPr>
              <w:t>La meilleure réécriture n'est pas forcément la plus longue : elle attribue l'information, explicite l'inférence et nomme seulement la limite qui affecte la portée.</w:t>
            </w:r>
          </w:p>
        </w:tc>
      </w:tr>
    </w:tbl>
    <w:p>
      <w:pPr>
        <w:spacing w:after="20"/>
      </w:pPr>
    </w:p>
    <w:p>
      <w:r>
        <w:br w:type="page"/>
      </w:r>
    </w:p>
    <w:p>
      <w:pPr>
        <w:pStyle w:val="Heading1"/>
      </w:pPr>
      <w:r>
        <w:t>Corrigé - phrases R16 à R20</w:t>
      </w:r>
    </w:p>
    <w:tbl>
      <w:tblPr>
        <w:tblStyle w:val="TableGrid"/>
        <w:jc w:val="center"/>
        <w:tblLook w:firstColumn="1" w:firstRow="1" w:lastColumn="0" w:lastRow="0" w:noHBand="0" w:noVBand="1" w:val="04A0"/>
        <w:tblW w:w="9920" w:type="dxa"/>
        <w:tblInd w:w="0" w:type="dxa"/>
        <w:tblLayout w:type="fixed"/>
      </w:tblPr>
      <w:tblGrid>
        <w:gridCol w:w="737"/>
        <w:gridCol w:w="3231"/>
        <w:gridCol w:w="5952"/>
      </w:tblGrid>
      <w:tr>
        <w:trPr>
          <w:tblHeader w:val="true"/>
        </w:trPr>
        <w:tc>
          <w:tcPr>
            <w:tcW w:type="dxa" w:w="737"/>
            <w:shd w:fill="243746"/>
            <w:tcMar>
              <w:top w:w="100" w:type="dxa"/>
              <w:start w:w="140" w:type="dxa"/>
              <w:bottom w:w="100" w:type="dxa"/>
              <w:end w:w="140" w:type="dxa"/>
            </w:tcMar>
            <w:vAlign w:val="center"/>
          </w:tcPr>
          <w:p>
            <w:pPr>
              <w:spacing w:after="0"/>
              <w:jc w:val="left"/>
            </w:pPr>
            <w:r>
              <w:rPr>
                <w:rFonts w:ascii="Arial" w:hAnsi="Arial"/>
                <w:b/>
                <w:i w:val="0"/>
                <w:color w:val="FFFFFF"/>
                <w:sz w:val="18"/>
              </w:rPr>
              <w:t>ID</w:t>
            </w:r>
          </w:p>
        </w:tc>
        <w:tc>
          <w:tcPr>
            <w:tcW w:type="dxa" w:w="3231"/>
            <w:shd w:fill="243746"/>
            <w:tcMar>
              <w:top w:w="100" w:type="dxa"/>
              <w:start w:w="140" w:type="dxa"/>
              <w:bottom w:w="100" w:type="dxa"/>
              <w:end w:w="140" w:type="dxa"/>
            </w:tcMar>
            <w:vAlign w:val="center"/>
          </w:tcPr>
          <w:p>
            <w:pPr>
              <w:spacing w:after="0"/>
              <w:jc w:val="left"/>
            </w:pPr>
            <w:r>
              <w:rPr>
                <w:rFonts w:ascii="Arial" w:hAnsi="Arial"/>
                <w:b/>
                <w:i w:val="0"/>
                <w:color w:val="FFFFFF"/>
                <w:sz w:val="18"/>
              </w:rPr>
              <w:t>Formulation fragile</w:t>
            </w:r>
          </w:p>
        </w:tc>
        <w:tc>
          <w:tcPr>
            <w:tcW w:type="dxa" w:w="5952"/>
            <w:shd w:fill="243746"/>
            <w:tcMar>
              <w:top w:w="100" w:type="dxa"/>
              <w:start w:w="140" w:type="dxa"/>
              <w:bottom w:w="100" w:type="dxa"/>
              <w:end w:w="140" w:type="dxa"/>
            </w:tcMar>
            <w:vAlign w:val="center"/>
          </w:tcPr>
          <w:p>
            <w:pPr>
              <w:spacing w:after="0"/>
              <w:jc w:val="left"/>
            </w:pPr>
            <w:r>
              <w:rPr>
                <w:rFonts w:ascii="Arial" w:hAnsi="Arial"/>
                <w:b/>
                <w:i w:val="0"/>
                <w:color w:val="FFFFFF"/>
                <w:sz w:val="18"/>
              </w:rPr>
              <w:t>Réécriture indicative</w:t>
            </w:r>
          </w:p>
        </w:tc>
      </w:tr>
      <w:tr>
        <w:tc>
          <w:tcPr>
            <w:tcW w:type="dxa" w:w="737"/>
            <w:tcMar>
              <w:top w:w="100" w:type="dxa"/>
              <w:start w:w="140" w:type="dxa"/>
              <w:bottom w:w="100" w:type="dxa"/>
              <w:end w:w="140" w:type="dxa"/>
            </w:tcMar>
            <w:vAlign w:val="center"/>
          </w:tcPr>
          <w:p>
            <w:pPr>
              <w:spacing w:after="0"/>
            </w:pPr>
            <w:r>
              <w:rPr>
                <w:rFonts w:ascii="Arial" w:hAnsi="Arial"/>
                <w:b w:val="0"/>
                <w:i w:val="0"/>
                <w:color w:val="20282D"/>
                <w:sz w:val="18"/>
              </w:rPr>
              <w:t>R16</w:t>
            </w:r>
          </w:p>
        </w:tc>
        <w:tc>
          <w:tcPr>
            <w:tcW w:type="dxa" w:w="3231"/>
            <w:tcMar>
              <w:top w:w="100" w:type="dxa"/>
              <w:start w:w="140" w:type="dxa"/>
              <w:bottom w:w="100" w:type="dxa"/>
              <w:end w:w="140" w:type="dxa"/>
            </w:tcMar>
            <w:vAlign w:val="center"/>
          </w:tcPr>
          <w:p>
            <w:pPr>
              <w:spacing w:after="0"/>
            </w:pPr>
            <w:r>
              <w:rPr>
                <w:rFonts w:ascii="Arial" w:hAnsi="Arial"/>
                <w:b w:val="0"/>
                <w:i w:val="0"/>
                <w:color w:val="20282D"/>
                <w:sz w:val="18"/>
              </w:rPr>
              <w:t>Il faut refaire toute la toiture.</w:t>
            </w:r>
          </w:p>
        </w:tc>
        <w:tc>
          <w:tcPr>
            <w:tcW w:type="dxa" w:w="5952"/>
            <w:tcMar>
              <w:top w:w="100" w:type="dxa"/>
              <w:start w:w="140" w:type="dxa"/>
              <w:bottom w:w="100" w:type="dxa"/>
              <w:end w:w="140" w:type="dxa"/>
            </w:tcMar>
            <w:vAlign w:val="center"/>
          </w:tcPr>
          <w:p>
            <w:pPr>
              <w:spacing w:after="0"/>
            </w:pPr>
            <w:r>
              <w:rPr>
                <w:rFonts w:ascii="Arial" w:hAnsi="Arial"/>
                <w:b w:val="0"/>
                <w:i w:val="0"/>
                <w:color w:val="20282D"/>
                <w:sz w:val="18"/>
              </w:rPr>
              <w:t>Avant de définir une intervention, il convient de localiser l'apport et d'examiner les interfaces compatibles avec le trajet supposé.</w:t>
            </w:r>
          </w:p>
        </w:tc>
      </w:tr>
      <w:tr>
        <w:tc>
          <w:tcPr>
            <w:tcW w:type="dxa" w:w="737"/>
            <w:tcMar>
              <w:top w:w="100" w:type="dxa"/>
              <w:start w:w="140" w:type="dxa"/>
              <w:bottom w:w="100" w:type="dxa"/>
              <w:end w:w="140" w:type="dxa"/>
            </w:tcMar>
            <w:vAlign w:val="center"/>
          </w:tcPr>
          <w:p>
            <w:pPr>
              <w:spacing w:after="0"/>
            </w:pPr>
            <w:r>
              <w:rPr>
                <w:rFonts w:ascii="Arial" w:hAnsi="Arial"/>
                <w:b w:val="0"/>
                <w:i w:val="0"/>
                <w:color w:val="20282D"/>
                <w:sz w:val="18"/>
              </w:rPr>
              <w:t>R17</w:t>
            </w:r>
          </w:p>
        </w:tc>
        <w:tc>
          <w:tcPr>
            <w:tcW w:type="dxa" w:w="3231"/>
            <w:tcMar>
              <w:top w:w="100" w:type="dxa"/>
              <w:start w:w="140" w:type="dxa"/>
              <w:bottom w:w="100" w:type="dxa"/>
              <w:end w:w="140" w:type="dxa"/>
            </w:tcMar>
            <w:vAlign w:val="center"/>
          </w:tcPr>
          <w:p>
            <w:pPr>
              <w:spacing w:after="0"/>
            </w:pPr>
            <w:r>
              <w:rPr>
                <w:rFonts w:ascii="Arial" w:hAnsi="Arial"/>
                <w:b w:val="0"/>
                <w:i w:val="0"/>
                <w:color w:val="20282D"/>
                <w:sz w:val="18"/>
              </w:rPr>
              <w:t>Une ouverture destructive donnera la vérité.</w:t>
            </w:r>
          </w:p>
        </w:tc>
        <w:tc>
          <w:tcPr>
            <w:tcW w:type="dxa" w:w="5952"/>
            <w:tcMar>
              <w:top w:w="100" w:type="dxa"/>
              <w:start w:w="140" w:type="dxa"/>
              <w:bottom w:w="100" w:type="dxa"/>
              <w:end w:w="140" w:type="dxa"/>
            </w:tcMar>
            <w:vAlign w:val="center"/>
          </w:tcPr>
          <w:p>
            <w:pPr>
              <w:spacing w:after="0"/>
            </w:pPr>
            <w:r>
              <w:rPr>
                <w:rFonts w:ascii="Arial" w:hAnsi="Arial"/>
                <w:b w:val="0"/>
                <w:i w:val="0"/>
                <w:color w:val="20282D"/>
                <w:sz w:val="18"/>
              </w:rPr>
              <w:t>Une ouverture ne peut être envisagée qu'avec une question, des résultats attendus, une autorisation, une compétence et une remise en état définies.</w:t>
            </w:r>
          </w:p>
        </w:tc>
      </w:tr>
      <w:tr>
        <w:tc>
          <w:tcPr>
            <w:tcW w:type="dxa" w:w="737"/>
            <w:tcMar>
              <w:top w:w="100" w:type="dxa"/>
              <w:start w:w="140" w:type="dxa"/>
              <w:bottom w:w="100" w:type="dxa"/>
              <w:end w:w="140" w:type="dxa"/>
            </w:tcMar>
            <w:vAlign w:val="center"/>
          </w:tcPr>
          <w:p>
            <w:pPr>
              <w:spacing w:after="0"/>
            </w:pPr>
            <w:r>
              <w:rPr>
                <w:rFonts w:ascii="Arial" w:hAnsi="Arial"/>
                <w:b w:val="0"/>
                <w:i w:val="0"/>
                <w:color w:val="20282D"/>
                <w:sz w:val="18"/>
              </w:rPr>
              <w:t>R18</w:t>
            </w:r>
          </w:p>
        </w:tc>
        <w:tc>
          <w:tcPr>
            <w:tcW w:type="dxa" w:w="3231"/>
            <w:tcMar>
              <w:top w:w="100" w:type="dxa"/>
              <w:start w:w="140" w:type="dxa"/>
              <w:bottom w:w="100" w:type="dxa"/>
              <w:end w:w="140" w:type="dxa"/>
            </w:tcMar>
            <w:vAlign w:val="center"/>
          </w:tcPr>
          <w:p>
            <w:pPr>
              <w:spacing w:after="0"/>
            </w:pPr>
            <w:r>
              <w:rPr>
                <w:rFonts w:ascii="Arial" w:hAnsi="Arial"/>
                <w:b w:val="0"/>
                <w:i w:val="0"/>
                <w:color w:val="20282D"/>
                <w:sz w:val="18"/>
              </w:rPr>
              <w:t>Aucune autre hypothèse n'est possible.</w:t>
            </w:r>
          </w:p>
        </w:tc>
        <w:tc>
          <w:tcPr>
            <w:tcW w:type="dxa" w:w="5952"/>
            <w:tcMar>
              <w:top w:w="100" w:type="dxa"/>
              <w:start w:w="140" w:type="dxa"/>
              <w:bottom w:w="100" w:type="dxa"/>
              <w:end w:w="140" w:type="dxa"/>
            </w:tcMar>
            <w:vAlign w:val="center"/>
          </w:tcPr>
          <w:p>
            <w:pPr>
              <w:spacing w:after="0"/>
            </w:pPr>
            <w:r>
              <w:rPr>
                <w:rFonts w:ascii="Arial" w:hAnsi="Arial"/>
                <w:b w:val="0"/>
                <w:i w:val="0"/>
                <w:color w:val="20282D"/>
                <w:sz w:val="18"/>
              </w:rPr>
              <w:t>Les pièces restent compatibles avec plusieurs hypothèses, dont une interface extérieure, un réseau et une trace ancienne.</w:t>
            </w:r>
          </w:p>
        </w:tc>
      </w:tr>
      <w:tr>
        <w:tc>
          <w:tcPr>
            <w:tcW w:type="dxa" w:w="737"/>
            <w:tcMar>
              <w:top w:w="100" w:type="dxa"/>
              <w:start w:w="140" w:type="dxa"/>
              <w:bottom w:w="100" w:type="dxa"/>
              <w:end w:w="140" w:type="dxa"/>
            </w:tcMar>
            <w:vAlign w:val="center"/>
          </w:tcPr>
          <w:p>
            <w:pPr>
              <w:spacing w:after="0"/>
            </w:pPr>
            <w:r>
              <w:rPr>
                <w:rFonts w:ascii="Arial" w:hAnsi="Arial"/>
                <w:b w:val="0"/>
                <w:i w:val="0"/>
                <w:color w:val="20282D"/>
                <w:sz w:val="18"/>
              </w:rPr>
              <w:t>R19</w:t>
            </w:r>
          </w:p>
        </w:tc>
        <w:tc>
          <w:tcPr>
            <w:tcW w:type="dxa" w:w="3231"/>
            <w:tcMar>
              <w:top w:w="100" w:type="dxa"/>
              <w:start w:w="140" w:type="dxa"/>
              <w:bottom w:w="100" w:type="dxa"/>
              <w:end w:w="140" w:type="dxa"/>
            </w:tcMar>
            <w:vAlign w:val="center"/>
          </w:tcPr>
          <w:p>
            <w:pPr>
              <w:spacing w:after="0"/>
            </w:pPr>
            <w:r>
              <w:rPr>
                <w:rFonts w:ascii="Arial" w:hAnsi="Arial"/>
                <w:b w:val="0"/>
                <w:i w:val="0"/>
                <w:color w:val="20282D"/>
                <w:sz w:val="18"/>
              </w:rPr>
              <w:t>L'observation de la partie adverse est infondée.</w:t>
            </w:r>
          </w:p>
        </w:tc>
        <w:tc>
          <w:tcPr>
            <w:tcW w:type="dxa" w:w="5952"/>
            <w:tcMar>
              <w:top w:w="100" w:type="dxa"/>
              <w:start w:w="140" w:type="dxa"/>
              <w:bottom w:w="100" w:type="dxa"/>
              <w:end w:w="140" w:type="dxa"/>
            </w:tcMar>
            <w:vAlign w:val="center"/>
          </w:tcPr>
          <w:p>
            <w:pPr>
              <w:spacing w:after="0"/>
            </w:pPr>
            <w:r>
              <w:rPr>
                <w:rFonts w:ascii="Arial" w:hAnsi="Arial"/>
                <w:b w:val="0"/>
                <w:i w:val="0"/>
                <w:color w:val="20282D"/>
                <w:sz w:val="18"/>
              </w:rPr>
              <w:t>OBS-02 est analysée à partir de la portée de P11 ; l'hypothèse réseau est maintenue et le motif est localisé dans l'analyse.</w:t>
            </w:r>
          </w:p>
        </w:tc>
      </w:tr>
      <w:tr>
        <w:tc>
          <w:tcPr>
            <w:tcW w:type="dxa" w:w="737"/>
            <w:tcMar>
              <w:top w:w="100" w:type="dxa"/>
              <w:start w:w="140" w:type="dxa"/>
              <w:bottom w:w="100" w:type="dxa"/>
              <w:end w:w="140" w:type="dxa"/>
            </w:tcMar>
            <w:vAlign w:val="center"/>
          </w:tcPr>
          <w:p>
            <w:pPr>
              <w:spacing w:after="0"/>
            </w:pPr>
            <w:r>
              <w:rPr>
                <w:rFonts w:ascii="Arial" w:hAnsi="Arial"/>
                <w:b w:val="0"/>
                <w:i w:val="0"/>
                <w:color w:val="20282D"/>
                <w:sz w:val="18"/>
              </w:rPr>
              <w:t>R20</w:t>
            </w:r>
          </w:p>
        </w:tc>
        <w:tc>
          <w:tcPr>
            <w:tcW w:type="dxa" w:w="3231"/>
            <w:tcMar>
              <w:top w:w="100" w:type="dxa"/>
              <w:start w:w="140" w:type="dxa"/>
              <w:bottom w:w="100" w:type="dxa"/>
              <w:end w:w="140" w:type="dxa"/>
            </w:tcMar>
            <w:vAlign w:val="center"/>
          </w:tcPr>
          <w:p>
            <w:pPr>
              <w:spacing w:after="0"/>
            </w:pPr>
            <w:r>
              <w:rPr>
                <w:rFonts w:ascii="Arial" w:hAnsi="Arial"/>
                <w:b w:val="0"/>
                <w:i w:val="0"/>
                <w:color w:val="20282D"/>
                <w:sz w:val="18"/>
              </w:rPr>
              <w:t>Le rapport prouve qui doit payer.</w:t>
            </w:r>
          </w:p>
        </w:tc>
        <w:tc>
          <w:tcPr>
            <w:tcW w:type="dxa" w:w="5952"/>
            <w:tcMar>
              <w:top w:w="100" w:type="dxa"/>
              <w:start w:w="140" w:type="dxa"/>
              <w:bottom w:w="100" w:type="dxa"/>
              <w:end w:w="140" w:type="dxa"/>
            </w:tcMar>
            <w:vAlign w:val="center"/>
          </w:tcPr>
          <w:p>
            <w:pPr>
              <w:spacing w:after="0"/>
            </w:pPr>
            <w:r>
              <w:rPr>
                <w:rFonts w:ascii="Arial" w:hAnsi="Arial"/>
                <w:b w:val="0"/>
                <w:i w:val="0"/>
                <w:color w:val="20282D"/>
                <w:sz w:val="18"/>
              </w:rPr>
              <w:t>Le rapport apporte une réponse technique bornée ; la qualification juridique et financière reste hors de cette conclusion.</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AF0F3"/>
            <w:tcMar>
              <w:top w:w="130" w:type="dxa"/>
              <w:start w:w="170" w:type="dxa"/>
              <w:bottom w:w="130" w:type="dxa"/>
              <w:end w:w="170" w:type="dxa"/>
            </w:tcMar>
            <w:vAlign w:val="center"/>
          </w:tcPr>
          <w:p>
            <w:pPr>
              <w:spacing w:after="0"/>
            </w:pPr>
            <w:r>
              <w:rPr>
                <w:rFonts w:ascii="Arial" w:hAnsi="Arial"/>
                <w:b/>
                <w:i w:val="0"/>
                <w:color w:val="994A28"/>
                <w:sz w:val="21"/>
              </w:rPr>
              <w:t xml:space="preserve">À retenir — </w:t>
            </w:r>
            <w:r>
              <w:rPr>
                <w:rFonts w:ascii="Arial" w:hAnsi="Arial"/>
                <w:b w:val="0"/>
                <w:i w:val="0"/>
                <w:color w:val="20282D"/>
                <w:sz w:val="21"/>
              </w:rPr>
              <w:t>La meilleure réécriture n'est pas forcément la plus longue : elle attribue l'information, explicite l'inférence et nomme seulement la limite qui affecte la portée.</w:t>
            </w:r>
          </w:p>
        </w:tc>
      </w:tr>
    </w:tbl>
    <w:p>
      <w:pPr>
        <w:spacing w:after="20"/>
      </w:pPr>
    </w:p>
    <w:p>
      <w:r>
        <w:br w:type="page"/>
      </w:r>
    </w:p>
    <w:p>
      <w:pPr>
        <w:pStyle w:val="Heading1"/>
      </w:pPr>
      <w:r>
        <w:t>Corrigé - quatre observations et suites données</w:t>
      </w:r>
    </w:p>
    <w:tbl>
      <w:tblPr>
        <w:tblStyle w:val="TableGrid"/>
        <w:jc w:val="center"/>
        <w:tblLook w:firstColumn="1" w:firstRow="1" w:lastColumn="0" w:lastRow="0" w:noHBand="0" w:noVBand="1" w:val="04A0"/>
        <w:tblW w:w="9920" w:type="dxa"/>
        <w:tblInd w:w="0" w:type="dxa"/>
        <w:tblLayout w:type="fixed"/>
      </w:tblPr>
      <w:tblGrid>
        <w:gridCol w:w="1133"/>
        <w:gridCol w:w="1814"/>
        <w:gridCol w:w="6973"/>
      </w:tblGrid>
      <w:tr>
        <w:trPr>
          <w:tblHeader w:val="true"/>
        </w:trPr>
        <w:tc>
          <w:tcPr>
            <w:tcW w:type="dxa" w:w="1133"/>
            <w:shd w:fill="243746"/>
            <w:tcMar>
              <w:top w:w="100" w:type="dxa"/>
              <w:start w:w="140" w:type="dxa"/>
              <w:bottom w:w="100" w:type="dxa"/>
              <w:end w:w="140" w:type="dxa"/>
            </w:tcMar>
            <w:vAlign w:val="center"/>
          </w:tcPr>
          <w:p>
            <w:pPr>
              <w:spacing w:after="0"/>
              <w:jc w:val="left"/>
            </w:pPr>
            <w:r>
              <w:rPr>
                <w:rFonts w:ascii="Arial" w:hAnsi="Arial"/>
                <w:b/>
                <w:i w:val="0"/>
                <w:color w:val="FFFFFF"/>
                <w:sz w:val="18"/>
              </w:rPr>
              <w:t>Observation</w:t>
            </w:r>
          </w:p>
        </w:tc>
        <w:tc>
          <w:tcPr>
            <w:tcW w:type="dxa" w:w="1814"/>
            <w:shd w:fill="243746"/>
            <w:tcMar>
              <w:top w:w="100" w:type="dxa"/>
              <w:start w:w="140" w:type="dxa"/>
              <w:bottom w:w="100" w:type="dxa"/>
              <w:end w:w="140" w:type="dxa"/>
            </w:tcMar>
            <w:vAlign w:val="center"/>
          </w:tcPr>
          <w:p>
            <w:pPr>
              <w:spacing w:after="0"/>
              <w:jc w:val="left"/>
            </w:pPr>
            <w:r>
              <w:rPr>
                <w:rFonts w:ascii="Arial" w:hAnsi="Arial"/>
                <w:b/>
                <w:i w:val="0"/>
                <w:color w:val="FFFFFF"/>
                <w:sz w:val="18"/>
              </w:rPr>
              <w:t>Suite</w:t>
            </w:r>
          </w:p>
        </w:tc>
        <w:tc>
          <w:tcPr>
            <w:tcW w:type="dxa" w:w="6973"/>
            <w:shd w:fill="243746"/>
            <w:tcMar>
              <w:top w:w="100" w:type="dxa"/>
              <w:start w:w="140" w:type="dxa"/>
              <w:bottom w:w="100" w:type="dxa"/>
              <w:end w:w="140" w:type="dxa"/>
            </w:tcMar>
            <w:vAlign w:val="center"/>
          </w:tcPr>
          <w:p>
            <w:pPr>
              <w:spacing w:after="0"/>
              <w:jc w:val="left"/>
            </w:pPr>
            <w:r>
              <w:rPr>
                <w:rFonts w:ascii="Arial" w:hAnsi="Arial"/>
                <w:b/>
                <w:i w:val="0"/>
                <w:color w:val="FFFFFF"/>
                <w:sz w:val="18"/>
              </w:rPr>
              <w:t>Motif et effet sur le rapport</w:t>
            </w:r>
          </w:p>
        </w:tc>
      </w:tr>
      <w:tr>
        <w:tc>
          <w:tcPr>
            <w:tcW w:type="dxa" w:w="1133"/>
            <w:tcMar>
              <w:top w:w="100" w:type="dxa"/>
              <w:start w:w="140" w:type="dxa"/>
              <w:bottom w:w="100" w:type="dxa"/>
              <w:end w:w="140" w:type="dxa"/>
            </w:tcMar>
            <w:vAlign w:val="center"/>
          </w:tcPr>
          <w:p>
            <w:pPr>
              <w:spacing w:after="0"/>
            </w:pPr>
            <w:r>
              <w:rPr>
                <w:rFonts w:ascii="Arial" w:hAnsi="Arial"/>
                <w:b w:val="0"/>
                <w:i w:val="0"/>
                <w:color w:val="20282D"/>
                <w:sz w:val="18"/>
              </w:rPr>
              <w:t>OBS-01</w:t>
            </w:r>
          </w:p>
        </w:tc>
        <w:tc>
          <w:tcPr>
            <w:tcW w:type="dxa" w:w="1814"/>
            <w:tcMar>
              <w:top w:w="100" w:type="dxa"/>
              <w:start w:w="140" w:type="dxa"/>
              <w:bottom w:w="100" w:type="dxa"/>
              <w:end w:w="140" w:type="dxa"/>
            </w:tcMar>
            <w:vAlign w:val="center"/>
          </w:tcPr>
          <w:p>
            <w:pPr>
              <w:spacing w:after="0"/>
            </w:pPr>
            <w:r>
              <w:rPr>
                <w:rFonts w:ascii="Arial" w:hAnsi="Arial"/>
                <w:b w:val="0"/>
                <w:i w:val="0"/>
                <w:color w:val="20282D"/>
                <w:sz w:val="18"/>
              </w:rPr>
              <w:t>corriger et nuancer</w:t>
            </w:r>
          </w:p>
        </w:tc>
        <w:tc>
          <w:tcPr>
            <w:tcW w:type="dxa" w:w="6973"/>
            <w:tcMar>
              <w:top w:w="100" w:type="dxa"/>
              <w:start w:w="140" w:type="dxa"/>
              <w:bottom w:w="100" w:type="dxa"/>
              <w:end w:w="140" w:type="dxa"/>
            </w:tcMar>
            <w:vAlign w:val="center"/>
          </w:tcPr>
          <w:p>
            <w:pPr>
              <w:spacing w:after="0"/>
            </w:pPr>
            <w:r>
              <w:rPr>
                <w:rFonts w:ascii="Arial" w:hAnsi="Arial"/>
                <w:b w:val="0"/>
                <w:i w:val="0"/>
                <w:color w:val="20282D"/>
                <w:sz w:val="18"/>
              </w:rPr>
              <w:t>Qualifier l'en-tête de transmission distinctement des métadonnées du fichier ; avancer la date seulement à la portée que cette pièce permet et conserver l'incertitude dans la conclusion.</w:t>
            </w:r>
          </w:p>
        </w:tc>
      </w:tr>
      <w:tr>
        <w:tc>
          <w:tcPr>
            <w:tcW w:type="dxa" w:w="1133"/>
            <w:tcMar>
              <w:top w:w="100" w:type="dxa"/>
              <w:start w:w="140" w:type="dxa"/>
              <w:bottom w:w="100" w:type="dxa"/>
              <w:end w:w="140" w:type="dxa"/>
            </w:tcMar>
            <w:vAlign w:val="center"/>
          </w:tcPr>
          <w:p>
            <w:pPr>
              <w:spacing w:after="0"/>
            </w:pPr>
            <w:r>
              <w:rPr>
                <w:rFonts w:ascii="Arial" w:hAnsi="Arial"/>
                <w:b w:val="0"/>
                <w:i w:val="0"/>
                <w:color w:val="20282D"/>
                <w:sz w:val="18"/>
              </w:rPr>
              <w:t>OBS-02</w:t>
            </w:r>
          </w:p>
        </w:tc>
        <w:tc>
          <w:tcPr>
            <w:tcW w:type="dxa" w:w="1814"/>
            <w:tcMar>
              <w:top w:w="100" w:type="dxa"/>
              <w:start w:w="140" w:type="dxa"/>
              <w:bottom w:w="100" w:type="dxa"/>
              <w:end w:w="140" w:type="dxa"/>
            </w:tcMar>
            <w:vAlign w:val="center"/>
          </w:tcPr>
          <w:p>
            <w:pPr>
              <w:spacing w:after="0"/>
            </w:pPr>
            <w:r>
              <w:rPr>
                <w:rFonts w:ascii="Arial" w:hAnsi="Arial"/>
                <w:b w:val="0"/>
                <w:i w:val="0"/>
                <w:color w:val="20282D"/>
                <w:sz w:val="18"/>
              </w:rPr>
              <w:t>maintenir avec motif</w:t>
            </w:r>
          </w:p>
        </w:tc>
        <w:tc>
          <w:tcPr>
            <w:tcW w:type="dxa" w:w="6973"/>
            <w:tcMar>
              <w:top w:w="100" w:type="dxa"/>
              <w:start w:w="140" w:type="dxa"/>
              <w:bottom w:w="100" w:type="dxa"/>
              <w:end w:w="140" w:type="dxa"/>
            </w:tcMar>
            <w:vAlign w:val="center"/>
          </w:tcPr>
          <w:p>
            <w:pPr>
              <w:spacing w:after="0"/>
            </w:pPr>
            <w:r>
              <w:rPr>
                <w:rFonts w:ascii="Arial" w:hAnsi="Arial"/>
                <w:b w:val="0"/>
                <w:i w:val="0"/>
                <w:color w:val="20282D"/>
                <w:sz w:val="18"/>
              </w:rPr>
              <w:t>P11 est partiel, de révision inconnue et non relié à l'exécution ; l'hypothèse réseau reste ouverte et la limite est ajoutée dans l'analyse.</w:t>
            </w:r>
          </w:p>
        </w:tc>
      </w:tr>
      <w:tr>
        <w:tc>
          <w:tcPr>
            <w:tcW w:type="dxa" w:w="1133"/>
            <w:tcMar>
              <w:top w:w="100" w:type="dxa"/>
              <w:start w:w="140" w:type="dxa"/>
              <w:bottom w:w="100" w:type="dxa"/>
              <w:end w:w="140" w:type="dxa"/>
            </w:tcMar>
            <w:vAlign w:val="center"/>
          </w:tcPr>
          <w:p>
            <w:pPr>
              <w:spacing w:after="0"/>
            </w:pPr>
            <w:r>
              <w:rPr>
                <w:rFonts w:ascii="Arial" w:hAnsi="Arial"/>
                <w:b w:val="0"/>
                <w:i w:val="0"/>
                <w:color w:val="20282D"/>
                <w:sz w:val="18"/>
              </w:rPr>
              <w:t>OBS-03</w:t>
            </w:r>
          </w:p>
        </w:tc>
        <w:tc>
          <w:tcPr>
            <w:tcW w:type="dxa" w:w="1814"/>
            <w:tcMar>
              <w:top w:w="100" w:type="dxa"/>
              <w:start w:w="140" w:type="dxa"/>
              <w:bottom w:w="100" w:type="dxa"/>
              <w:end w:w="140" w:type="dxa"/>
            </w:tcMar>
            <w:vAlign w:val="center"/>
          </w:tcPr>
          <w:p>
            <w:pPr>
              <w:spacing w:after="0"/>
            </w:pPr>
            <w:r>
              <w:rPr>
                <w:rFonts w:ascii="Arial" w:hAnsi="Arial"/>
                <w:b w:val="0"/>
                <w:i w:val="0"/>
                <w:color w:val="20282D"/>
                <w:sz w:val="18"/>
              </w:rPr>
              <w:t>compléter</w:t>
            </w:r>
          </w:p>
        </w:tc>
        <w:tc>
          <w:tcPr>
            <w:tcW w:type="dxa" w:w="6973"/>
            <w:tcMar>
              <w:top w:w="100" w:type="dxa"/>
              <w:start w:w="140" w:type="dxa"/>
              <w:bottom w:w="100" w:type="dxa"/>
              <w:end w:w="140" w:type="dxa"/>
            </w:tcMar>
            <w:vAlign w:val="center"/>
          </w:tcPr>
          <w:p>
            <w:pPr>
              <w:spacing w:after="0"/>
            </w:pPr>
            <w:r>
              <w:rPr>
                <w:rFonts w:ascii="Arial" w:hAnsi="Arial"/>
                <w:b w:val="0"/>
                <w:i w:val="0"/>
                <w:color w:val="20282D"/>
                <w:sz w:val="18"/>
              </w:rPr>
              <w:t>Intégrer NT-01 à la matrice comme limite documentaire ; préciser qu'il s'agit d'un avis de spécialité distincte fondé sur le seul plan partiel.</w:t>
            </w:r>
          </w:p>
        </w:tc>
      </w:tr>
      <w:tr>
        <w:tc>
          <w:tcPr>
            <w:tcW w:type="dxa" w:w="1133"/>
            <w:tcMar>
              <w:top w:w="100" w:type="dxa"/>
              <w:start w:w="140" w:type="dxa"/>
              <w:bottom w:w="100" w:type="dxa"/>
              <w:end w:w="140" w:type="dxa"/>
            </w:tcMar>
            <w:vAlign w:val="center"/>
          </w:tcPr>
          <w:p>
            <w:pPr>
              <w:spacing w:after="0"/>
            </w:pPr>
            <w:r>
              <w:rPr>
                <w:rFonts w:ascii="Arial" w:hAnsi="Arial"/>
                <w:b w:val="0"/>
                <w:i w:val="0"/>
                <w:color w:val="20282D"/>
                <w:sz w:val="18"/>
              </w:rPr>
              <w:t>OBS-04</w:t>
            </w:r>
          </w:p>
        </w:tc>
        <w:tc>
          <w:tcPr>
            <w:tcW w:type="dxa" w:w="1814"/>
            <w:tcMar>
              <w:top w:w="100" w:type="dxa"/>
              <w:start w:w="140" w:type="dxa"/>
              <w:bottom w:w="100" w:type="dxa"/>
              <w:end w:w="140" w:type="dxa"/>
            </w:tcMar>
            <w:vAlign w:val="center"/>
          </w:tcPr>
          <w:p>
            <w:pPr>
              <w:spacing w:after="0"/>
            </w:pPr>
            <w:r>
              <w:rPr>
                <w:rFonts w:ascii="Arial" w:hAnsi="Arial"/>
                <w:b w:val="0"/>
                <w:i w:val="0"/>
                <w:color w:val="20282D"/>
                <w:sz w:val="18"/>
              </w:rPr>
              <w:t>maintenir hors champ</w:t>
            </w:r>
          </w:p>
        </w:tc>
        <w:tc>
          <w:tcPr>
            <w:tcW w:type="dxa" w:w="6973"/>
            <w:tcMar>
              <w:top w:w="100" w:type="dxa"/>
              <w:start w:w="140" w:type="dxa"/>
              <w:bottom w:w="100" w:type="dxa"/>
              <w:end w:w="140" w:type="dxa"/>
            </w:tcMar>
            <w:vAlign w:val="center"/>
          </w:tcPr>
          <w:p>
            <w:pPr>
              <w:spacing w:after="0"/>
            </w:pPr>
            <w:r>
              <w:rPr>
                <w:rFonts w:ascii="Arial" w:hAnsi="Arial"/>
                <w:b w:val="0"/>
                <w:i w:val="0"/>
                <w:color w:val="20282D"/>
                <w:sz w:val="18"/>
              </w:rPr>
              <w:t>Rappeler la mission technique et l'absence d'appréciation juridique ; aucune désignation de responsable n'est ajoutée.</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EF"/>
            <w:tcMar>
              <w:top w:w="130" w:type="dxa"/>
              <w:start w:w="170" w:type="dxa"/>
              <w:bottom w:w="130" w:type="dxa"/>
              <w:end w:w="170" w:type="dxa"/>
            </w:tcMar>
            <w:vAlign w:val="center"/>
          </w:tcPr>
          <w:p>
            <w:pPr>
              <w:spacing w:after="0"/>
            </w:pPr>
            <w:r>
              <w:rPr>
                <w:rFonts w:ascii="Arial" w:hAnsi="Arial"/>
                <w:b/>
                <w:i w:val="0"/>
                <w:color w:val="994A28"/>
                <w:sz w:val="21"/>
              </w:rPr>
              <w:t xml:space="preserve">Cohérence — </w:t>
            </w:r>
            <w:r>
              <w:rPr>
                <w:rFonts w:ascii="Arial" w:hAnsi="Arial"/>
                <w:b w:val="0"/>
                <w:i w:val="0"/>
                <w:color w:val="20282D"/>
                <w:sz w:val="21"/>
              </w:rPr>
              <w:t>Après la table, relire chronologie, matrice, synthèse et conclusions : ils doivent refléter la même version du raisonnement.</w:t>
            </w:r>
          </w:p>
        </w:tc>
      </w:tr>
    </w:tbl>
    <w:p>
      <w:pPr>
        <w:spacing w:after="20"/>
      </w:pPr>
    </w:p>
    <w:p>
      <w:r>
        <w:br w:type="page"/>
      </w:r>
    </w:p>
    <w:p>
      <w:pPr>
        <w:pStyle w:val="Heading1"/>
      </w:pPr>
      <w:r>
        <w:t>Corrigé - conclusion indicative sur la fissure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EF"/>
            <w:tcMar>
              <w:top w:w="130" w:type="dxa"/>
              <w:start w:w="170" w:type="dxa"/>
              <w:bottom w:w="130" w:type="dxa"/>
              <w:end w:w="170" w:type="dxa"/>
            </w:tcMar>
            <w:vAlign w:val="center"/>
          </w:tcPr>
          <w:p>
            <w:pPr>
              <w:spacing w:after="0"/>
            </w:pPr>
            <w:r>
              <w:rPr>
                <w:rFonts w:ascii="Arial" w:hAnsi="Arial"/>
                <w:b/>
                <w:i w:val="0"/>
                <w:color w:val="994A28"/>
                <w:sz w:val="21"/>
              </w:rPr>
              <w:t xml:space="preserve">Réponse possible — </w:t>
            </w:r>
            <w:r>
              <w:rPr>
                <w:rFonts w:ascii="Arial" w:hAnsi="Arial"/>
                <w:b w:val="0"/>
                <w:i w:val="0"/>
                <w:color w:val="20282D"/>
                <w:sz w:val="21"/>
              </w:rPr>
              <w:t>La visite du 18 août B établit une ouverture linéaire dans la finition intérieure, au droit de la jonction entre la maison et l'extension, sur la seule zone accessible. Les plans P03 et P04 situent une jonction à cet endroit, mais l'indice B n'est pas daté et la conformité des plans à l'exécution n'est pas démontrée. Les éléments disponibles restent compatibles avec un mouvement différentiel entre volumes ou avec une discontinuité locale de la finition ; l'absence de vues anciennes comparables ne permet pas d'établir une évolution. L'état des supports et de la partie haute non visible constitue la limite décisive. Une observation comparative localisée, puis une vérification autorisée de la constitution de la jonction si elle demeure nécessaire, pourraient départager ces mécanismes. Cette conclusion technique ne qualifie ni conformité générale, ni responsabilité.</w:t>
            </w:r>
          </w:p>
        </w:tc>
      </w:tr>
    </w:tbl>
    <w:p>
      <w:pPr>
        <w:spacing w:after="20"/>
      </w:pPr>
    </w:p>
    <w:p>
      <w:pPr>
        <w:pStyle w:val="Heading2"/>
      </w:pPr>
      <w:r>
        <w:t>Lecture TRACE</w:t>
      </w:r>
    </w:p>
    <w:p>
      <w:pPr>
        <w:pStyle w:val="ListBullet"/>
      </w:pPr>
      <w:r>
        <w:rPr>
          <w:rFonts w:ascii="Arial" w:hAnsi="Arial"/>
          <w:b w:val="0"/>
          <w:i w:val="0"/>
          <w:color w:val="20282D"/>
          <w:sz w:val="21"/>
        </w:rPr>
        <w:t>Le point technique reçoit une réponse identifiable.</w:t>
      </w:r>
    </w:p>
    <w:p>
      <w:pPr>
        <w:pStyle w:val="ListBullet"/>
      </w:pPr>
      <w:r>
        <w:rPr>
          <w:rFonts w:ascii="Arial" w:hAnsi="Arial"/>
          <w:b w:val="0"/>
          <w:i w:val="0"/>
          <w:color w:val="20282D"/>
          <w:sz w:val="21"/>
        </w:rPr>
        <w:t>Les pièces, leur statut et leur portée sont visibles.</w:t>
      </w:r>
    </w:p>
    <w:p>
      <w:pPr>
        <w:pStyle w:val="ListBullet"/>
      </w:pPr>
      <w:r>
        <w:rPr>
          <w:rFonts w:ascii="Arial" w:hAnsi="Arial"/>
          <w:b w:val="0"/>
          <w:i w:val="0"/>
          <w:color w:val="20282D"/>
          <w:sz w:val="21"/>
        </w:rPr>
        <w:t>Une alternative et une contradiction significatives sont conservées.</w:t>
      </w:r>
    </w:p>
    <w:p>
      <w:pPr>
        <w:pStyle w:val="ListBullet"/>
      </w:pPr>
      <w:r>
        <w:rPr>
          <w:rFonts w:ascii="Arial" w:hAnsi="Arial"/>
          <w:b w:val="0"/>
          <w:i w:val="0"/>
          <w:color w:val="20282D"/>
          <w:sz w:val="21"/>
        </w:rPr>
        <w:t>La conclusion reste proportionnée et sans appréciation juridique.</w:t>
      </w:r>
    </w:p>
    <w:p>
      <w:pPr>
        <w:pStyle w:val="ListBullet"/>
      </w:pPr>
      <w:r>
        <w:rPr>
          <w:rFonts w:ascii="Arial" w:hAnsi="Arial"/>
          <w:b w:val="0"/>
          <w:i w:val="0"/>
          <w:color w:val="20282D"/>
          <w:sz w:val="21"/>
        </w:rPr>
        <w:t>La limite et la suite susceptible de changer la décision sont explicites.</w:t>
      </w:r>
    </w:p>
    <w:p>
      <w:pPr>
        <w:spacing w:before="100" w:after="40"/>
      </w:pPr>
      <w:r>
        <w:rPr>
          <w:rFonts w:ascii="Arial" w:hAnsi="Arial"/>
          <w:b w:val="0"/>
          <w:i/>
          <w:color w:val="5D686E"/>
          <w:sz w:val="16"/>
        </w:rPr>
        <w:t>Repère documentaire : Exemple pédagogique IEB entièrement fictif ; aucune phrase ne provient d'un rapport réel.</w:t>
      </w:r>
    </w:p>
    <w:p>
      <w:r>
        <w:br w:type="page"/>
      </w:r>
    </w:p>
    <w:p>
      <w:pPr>
        <w:pStyle w:val="Heading1"/>
      </w:pPr>
      <w:r>
        <w:t>Corrigé - conclusion indicative sur l'auréole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EF"/>
            <w:tcMar>
              <w:top w:w="130" w:type="dxa"/>
              <w:start w:w="170" w:type="dxa"/>
              <w:bottom w:w="130" w:type="dxa"/>
              <w:end w:w="170" w:type="dxa"/>
            </w:tcMar>
            <w:vAlign w:val="center"/>
          </w:tcPr>
          <w:p>
            <w:pPr>
              <w:spacing w:after="0"/>
            </w:pPr>
            <w:r>
              <w:rPr>
                <w:rFonts w:ascii="Arial" w:hAnsi="Arial"/>
                <w:b/>
                <w:i w:val="0"/>
                <w:color w:val="994A28"/>
                <w:sz w:val="21"/>
              </w:rPr>
              <w:t xml:space="preserve">Réponse possible — </w:t>
            </w:r>
            <w:r>
              <w:rPr>
                <w:rFonts w:ascii="Arial" w:hAnsi="Arial"/>
                <w:b w:val="0"/>
                <w:i w:val="0"/>
                <w:color w:val="20282D"/>
                <w:sz w:val="21"/>
              </w:rPr>
              <w:t>La visite du 18 août B établit une auréole au plafond sous la zone de toiture-terrasse, sans humidité active constatée lors de cette opération hors pluie. Les chronologies V1 et V2 situent différemment la première apparition et la reprise ; PH-07 et PH-08 montrent un aspect simulé, mais cinq vues du lot sont annoncées sans métadonnées. Un apport par une interface extérieure, un apport par réseau et une trace ancienne restent compatibles avec le dossier. L'association rapportée avec certains épisodes pluvieux favorise la première branche sans suffire à établir l'origine ni le trajet. P11 ne figure pas de réseau dans la zone, mais sa révision et sa conformité à l'exécution ne sont pas établies, ce que confirme la limite de NT-01. La comparaison lors de conditions pertinentes et l'obtention d'un plan complet, versionné et relié à l'exécution pourraient modifier la conclusion. Aucune attribution de responsabilité ne résulte de cet avis technique.</w:t>
            </w:r>
          </w:p>
        </w:tc>
      </w:tr>
    </w:tbl>
    <w:p>
      <w:pPr>
        <w:spacing w:after="20"/>
      </w:pPr>
    </w:p>
    <w:p>
      <w:pPr>
        <w:pStyle w:val="Heading2"/>
      </w:pPr>
      <w:r>
        <w:t>Lecture TRACE</w:t>
      </w:r>
    </w:p>
    <w:p>
      <w:pPr>
        <w:pStyle w:val="ListBullet"/>
      </w:pPr>
      <w:r>
        <w:rPr>
          <w:rFonts w:ascii="Arial" w:hAnsi="Arial"/>
          <w:b w:val="0"/>
          <w:i w:val="0"/>
          <w:color w:val="20282D"/>
          <w:sz w:val="21"/>
        </w:rPr>
        <w:t>Le point technique reçoit une réponse identifiable.</w:t>
      </w:r>
    </w:p>
    <w:p>
      <w:pPr>
        <w:pStyle w:val="ListBullet"/>
      </w:pPr>
      <w:r>
        <w:rPr>
          <w:rFonts w:ascii="Arial" w:hAnsi="Arial"/>
          <w:b w:val="0"/>
          <w:i w:val="0"/>
          <w:color w:val="20282D"/>
          <w:sz w:val="21"/>
        </w:rPr>
        <w:t>Les pièces, leur statut et leur portée sont visibles.</w:t>
      </w:r>
    </w:p>
    <w:p>
      <w:pPr>
        <w:pStyle w:val="ListBullet"/>
      </w:pPr>
      <w:r>
        <w:rPr>
          <w:rFonts w:ascii="Arial" w:hAnsi="Arial"/>
          <w:b w:val="0"/>
          <w:i w:val="0"/>
          <w:color w:val="20282D"/>
          <w:sz w:val="21"/>
        </w:rPr>
        <w:t>Une alternative et une contradiction significatives sont conservées.</w:t>
      </w:r>
    </w:p>
    <w:p>
      <w:pPr>
        <w:pStyle w:val="ListBullet"/>
      </w:pPr>
      <w:r>
        <w:rPr>
          <w:rFonts w:ascii="Arial" w:hAnsi="Arial"/>
          <w:b w:val="0"/>
          <w:i w:val="0"/>
          <w:color w:val="20282D"/>
          <w:sz w:val="21"/>
        </w:rPr>
        <w:t>La conclusion reste proportionnée et sans appréciation juridique.</w:t>
      </w:r>
    </w:p>
    <w:p>
      <w:pPr>
        <w:pStyle w:val="ListBullet"/>
      </w:pPr>
      <w:r>
        <w:rPr>
          <w:rFonts w:ascii="Arial" w:hAnsi="Arial"/>
          <w:b w:val="0"/>
          <w:i w:val="0"/>
          <w:color w:val="20282D"/>
          <w:sz w:val="21"/>
        </w:rPr>
        <w:t>La limite et la suite susceptible de changer la décision sont explicites.</w:t>
      </w:r>
    </w:p>
    <w:p>
      <w:pPr>
        <w:spacing w:before="100" w:after="40"/>
      </w:pPr>
      <w:r>
        <w:rPr>
          <w:rFonts w:ascii="Arial" w:hAnsi="Arial"/>
          <w:b w:val="0"/>
          <w:i/>
          <w:color w:val="5D686E"/>
          <w:sz w:val="16"/>
        </w:rPr>
        <w:t>Repère documentaire : Exemple pédagogique IEB entièrement fictif ; aucune phrase ne provient d'un rapport réel.</w:t>
      </w:r>
    </w:p>
    <w:p>
      <w:r>
        <w:br w:type="page"/>
      </w:r>
    </w:p>
    <w:p>
      <w:pPr>
        <w:pStyle w:val="Heading1"/>
      </w:pPr>
      <w:r>
        <w:t>Grille finale et sources</w:t>
      </w:r>
    </w:p>
    <w:tbl>
      <w:tblPr>
        <w:tblStyle w:val="TableGrid"/>
        <w:jc w:val="center"/>
        <w:tblLook w:firstColumn="1" w:firstRow="1" w:lastColumn="0" w:lastRow="0" w:noHBand="0" w:noVBand="1" w:val="04A0"/>
        <w:tblW w:w="9921" w:type="dxa"/>
        <w:tblInd w:w="0" w:type="dxa"/>
        <w:tblLayout w:type="fixed"/>
      </w:tblPr>
      <w:tblGrid>
        <w:gridCol w:w="2381"/>
        <w:gridCol w:w="7540"/>
      </w:tblGrid>
      <w:tr>
        <w:trPr>
          <w:tblHeader w:val="true"/>
        </w:trPr>
        <w:tc>
          <w:tcPr>
            <w:tcW w:type="dxa" w:w="2381"/>
            <w:shd w:fill="243746"/>
            <w:tcMar>
              <w:top w:w="100" w:type="dxa"/>
              <w:start w:w="140" w:type="dxa"/>
              <w:bottom w:w="100" w:type="dxa"/>
              <w:end w:w="140" w:type="dxa"/>
            </w:tcMar>
            <w:vAlign w:val="center"/>
          </w:tcPr>
          <w:p>
            <w:pPr>
              <w:spacing w:after="0"/>
              <w:jc w:val="left"/>
            </w:pPr>
            <w:r>
              <w:rPr>
                <w:rFonts w:ascii="Arial" w:hAnsi="Arial"/>
                <w:b/>
                <w:i w:val="0"/>
                <w:color w:val="FFFFFF"/>
                <w:sz w:val="18"/>
              </w:rPr>
              <w:t>Critère</w:t>
            </w:r>
          </w:p>
        </w:tc>
        <w:tc>
          <w:tcPr>
            <w:tcW w:type="dxa" w:w="7540"/>
            <w:shd w:fill="243746"/>
            <w:tcMar>
              <w:top w:w="100" w:type="dxa"/>
              <w:start w:w="140" w:type="dxa"/>
              <w:bottom w:w="100" w:type="dxa"/>
              <w:end w:w="140" w:type="dxa"/>
            </w:tcMar>
            <w:vAlign w:val="center"/>
          </w:tcPr>
          <w:p>
            <w:pPr>
              <w:spacing w:after="0"/>
              <w:jc w:val="left"/>
            </w:pPr>
            <w:r>
              <w:rPr>
                <w:rFonts w:ascii="Arial" w:hAnsi="Arial"/>
                <w:b/>
                <w:i w:val="0"/>
                <w:color w:val="FFFFFF"/>
                <w:sz w:val="18"/>
              </w:rPr>
              <w:t>Question de revue</w:t>
            </w:r>
          </w:p>
        </w:tc>
      </w:tr>
      <w:tr>
        <w:tc>
          <w:tcPr>
            <w:tcW w:type="dxa" w:w="2381"/>
            <w:tcMar>
              <w:top w:w="100" w:type="dxa"/>
              <w:start w:w="140" w:type="dxa"/>
              <w:bottom w:w="100" w:type="dxa"/>
              <w:end w:w="140" w:type="dxa"/>
            </w:tcMar>
            <w:vAlign w:val="center"/>
          </w:tcPr>
          <w:p>
            <w:pPr>
              <w:spacing w:after="0"/>
            </w:pPr>
            <w:r>
              <w:rPr>
                <w:rFonts w:ascii="Arial" w:hAnsi="Arial"/>
                <w:b w:val="0"/>
                <w:i w:val="0"/>
                <w:color w:val="20282D"/>
                <w:sz w:val="18"/>
              </w:rPr>
              <w:t>Mission</w:t>
            </w:r>
          </w:p>
        </w:tc>
        <w:tc>
          <w:tcPr>
            <w:tcW w:type="dxa" w:w="7540"/>
            <w:tcMar>
              <w:top w:w="100" w:type="dxa"/>
              <w:start w:w="140" w:type="dxa"/>
              <w:bottom w:w="100" w:type="dxa"/>
              <w:end w:w="140" w:type="dxa"/>
            </w:tcMar>
            <w:vAlign w:val="center"/>
          </w:tcPr>
          <w:p>
            <w:pPr>
              <w:spacing w:after="0"/>
            </w:pPr>
            <w:r>
              <w:rPr>
                <w:rFonts w:ascii="Arial" w:hAnsi="Arial"/>
                <w:b w:val="0"/>
                <w:i w:val="0"/>
                <w:color w:val="20282D"/>
                <w:sz w:val="18"/>
              </w:rPr>
              <w:t>Chaque réponse traite-t-elle un point identifiable ?</w:t>
            </w:r>
          </w:p>
        </w:tc>
      </w:tr>
      <w:tr>
        <w:tc>
          <w:tcPr>
            <w:tcW w:type="dxa" w:w="2381"/>
            <w:tcMar>
              <w:top w:w="100" w:type="dxa"/>
              <w:start w:w="140" w:type="dxa"/>
              <w:bottom w:w="100" w:type="dxa"/>
              <w:end w:w="140" w:type="dxa"/>
            </w:tcMar>
            <w:vAlign w:val="center"/>
          </w:tcPr>
          <w:p>
            <w:pPr>
              <w:spacing w:after="0"/>
            </w:pPr>
            <w:r>
              <w:rPr>
                <w:rFonts w:ascii="Arial" w:hAnsi="Arial"/>
                <w:b w:val="0"/>
                <w:i w:val="0"/>
                <w:color w:val="20282D"/>
                <w:sz w:val="18"/>
              </w:rPr>
              <w:t>Preuves</w:t>
            </w:r>
          </w:p>
        </w:tc>
        <w:tc>
          <w:tcPr>
            <w:tcW w:type="dxa" w:w="7540"/>
            <w:tcMar>
              <w:top w:w="100" w:type="dxa"/>
              <w:start w:w="140" w:type="dxa"/>
              <w:bottom w:w="100" w:type="dxa"/>
              <w:end w:w="140" w:type="dxa"/>
            </w:tcMar>
            <w:vAlign w:val="center"/>
          </w:tcPr>
          <w:p>
            <w:pPr>
              <w:spacing w:after="0"/>
            </w:pPr>
            <w:r>
              <w:rPr>
                <w:rFonts w:ascii="Arial" w:hAnsi="Arial"/>
                <w:b w:val="0"/>
                <w:i w:val="0"/>
                <w:color w:val="20282D"/>
                <w:sz w:val="18"/>
              </w:rPr>
              <w:t>Statut, provenance, version et portée sont-ils visibles ?</w:t>
            </w:r>
          </w:p>
        </w:tc>
      </w:tr>
      <w:tr>
        <w:tc>
          <w:tcPr>
            <w:tcW w:type="dxa" w:w="2381"/>
            <w:tcMar>
              <w:top w:w="100" w:type="dxa"/>
              <w:start w:w="140" w:type="dxa"/>
              <w:bottom w:w="100" w:type="dxa"/>
              <w:end w:w="140" w:type="dxa"/>
            </w:tcMar>
            <w:vAlign w:val="center"/>
          </w:tcPr>
          <w:p>
            <w:pPr>
              <w:spacing w:after="0"/>
            </w:pPr>
            <w:r>
              <w:rPr>
                <w:rFonts w:ascii="Arial" w:hAnsi="Arial"/>
                <w:b w:val="0"/>
                <w:i w:val="0"/>
                <w:color w:val="20282D"/>
                <w:sz w:val="18"/>
              </w:rPr>
              <w:t>Raisonnement</w:t>
            </w:r>
          </w:p>
        </w:tc>
        <w:tc>
          <w:tcPr>
            <w:tcW w:type="dxa" w:w="7540"/>
            <w:tcMar>
              <w:top w:w="100" w:type="dxa"/>
              <w:start w:w="140" w:type="dxa"/>
              <w:bottom w:w="100" w:type="dxa"/>
              <w:end w:w="140" w:type="dxa"/>
            </w:tcMar>
            <w:vAlign w:val="center"/>
          </w:tcPr>
          <w:p>
            <w:pPr>
              <w:spacing w:after="0"/>
            </w:pPr>
            <w:r>
              <w:rPr>
                <w:rFonts w:ascii="Arial" w:hAnsi="Arial"/>
                <w:b w:val="0"/>
                <w:i w:val="0"/>
                <w:color w:val="20282D"/>
                <w:sz w:val="18"/>
              </w:rPr>
              <w:t>Alternatives, contradictions et inférences sont-elles explicites ?</w:t>
            </w:r>
          </w:p>
        </w:tc>
      </w:tr>
      <w:tr>
        <w:tc>
          <w:tcPr>
            <w:tcW w:type="dxa" w:w="2381"/>
            <w:tcMar>
              <w:top w:w="100" w:type="dxa"/>
              <w:start w:w="140" w:type="dxa"/>
              <w:bottom w:w="100" w:type="dxa"/>
              <w:end w:w="140" w:type="dxa"/>
            </w:tcMar>
            <w:vAlign w:val="center"/>
          </w:tcPr>
          <w:p>
            <w:pPr>
              <w:spacing w:after="0"/>
            </w:pPr>
            <w:r>
              <w:rPr>
                <w:rFonts w:ascii="Arial" w:hAnsi="Arial"/>
                <w:b w:val="0"/>
                <w:i w:val="0"/>
                <w:color w:val="20282D"/>
                <w:sz w:val="18"/>
              </w:rPr>
              <w:t>Conclusion</w:t>
            </w:r>
          </w:p>
        </w:tc>
        <w:tc>
          <w:tcPr>
            <w:tcW w:type="dxa" w:w="7540"/>
            <w:tcMar>
              <w:top w:w="100" w:type="dxa"/>
              <w:start w:w="140" w:type="dxa"/>
              <w:bottom w:w="100" w:type="dxa"/>
              <w:end w:w="140" w:type="dxa"/>
            </w:tcMar>
            <w:vAlign w:val="center"/>
          </w:tcPr>
          <w:p>
            <w:pPr>
              <w:spacing w:after="0"/>
            </w:pPr>
            <w:r>
              <w:rPr>
                <w:rFonts w:ascii="Arial" w:hAnsi="Arial"/>
                <w:b w:val="0"/>
                <w:i w:val="0"/>
                <w:color w:val="20282D"/>
                <w:sz w:val="18"/>
              </w:rPr>
              <w:t>La force de la phrase reste-t-elle proportionnée ?</w:t>
            </w:r>
          </w:p>
        </w:tc>
      </w:tr>
      <w:tr>
        <w:tc>
          <w:tcPr>
            <w:tcW w:type="dxa" w:w="2381"/>
            <w:tcMar>
              <w:top w:w="100" w:type="dxa"/>
              <w:start w:w="140" w:type="dxa"/>
              <w:bottom w:w="100" w:type="dxa"/>
              <w:end w:w="140" w:type="dxa"/>
            </w:tcMar>
            <w:vAlign w:val="center"/>
          </w:tcPr>
          <w:p>
            <w:pPr>
              <w:spacing w:after="0"/>
            </w:pPr>
            <w:r>
              <w:rPr>
                <w:rFonts w:ascii="Arial" w:hAnsi="Arial"/>
                <w:b w:val="0"/>
                <w:i w:val="0"/>
                <w:color w:val="20282D"/>
                <w:sz w:val="18"/>
              </w:rPr>
              <w:t>Contradiction</w:t>
            </w:r>
          </w:p>
        </w:tc>
        <w:tc>
          <w:tcPr>
            <w:tcW w:type="dxa" w:w="7540"/>
            <w:tcMar>
              <w:top w:w="100" w:type="dxa"/>
              <w:start w:w="140" w:type="dxa"/>
              <w:bottom w:w="100" w:type="dxa"/>
              <w:end w:w="140" w:type="dxa"/>
            </w:tcMar>
            <w:vAlign w:val="center"/>
          </w:tcPr>
          <w:p>
            <w:pPr>
              <w:spacing w:after="0"/>
            </w:pPr>
            <w:r>
              <w:rPr>
                <w:rFonts w:ascii="Arial" w:hAnsi="Arial"/>
                <w:b w:val="0"/>
                <w:i w:val="0"/>
                <w:color w:val="20282D"/>
                <w:sz w:val="18"/>
              </w:rPr>
              <w:t>La suite donnée et son effet sur le rapport sont-ils tracés ?</w:t>
            </w:r>
          </w:p>
        </w:tc>
      </w:tr>
      <w:tr>
        <w:tc>
          <w:tcPr>
            <w:tcW w:type="dxa" w:w="2381"/>
            <w:tcMar>
              <w:top w:w="100" w:type="dxa"/>
              <w:start w:w="140" w:type="dxa"/>
              <w:bottom w:w="100" w:type="dxa"/>
              <w:end w:w="140" w:type="dxa"/>
            </w:tcMar>
            <w:vAlign w:val="center"/>
          </w:tcPr>
          <w:p>
            <w:pPr>
              <w:spacing w:after="0"/>
            </w:pPr>
            <w:r>
              <w:rPr>
                <w:rFonts w:ascii="Arial" w:hAnsi="Arial"/>
                <w:b w:val="0"/>
                <w:i w:val="0"/>
                <w:color w:val="20282D"/>
                <w:sz w:val="18"/>
              </w:rPr>
              <w:t>Données</w:t>
            </w:r>
          </w:p>
        </w:tc>
        <w:tc>
          <w:tcPr>
            <w:tcW w:type="dxa" w:w="7540"/>
            <w:tcMar>
              <w:top w:w="100" w:type="dxa"/>
              <w:start w:w="140" w:type="dxa"/>
              <w:bottom w:w="100" w:type="dxa"/>
              <w:end w:w="140" w:type="dxa"/>
            </w:tcMar>
            <w:vAlign w:val="center"/>
          </w:tcPr>
          <w:p>
            <w:pPr>
              <w:spacing w:after="0"/>
            </w:pPr>
            <w:r>
              <w:rPr>
                <w:rFonts w:ascii="Arial" w:hAnsi="Arial"/>
                <w:b w:val="0"/>
                <w:i w:val="0"/>
                <w:color w:val="20282D"/>
                <w:sz w:val="18"/>
              </w:rPr>
              <w:t>Toute donnée personnelle conservée est-elle nécessaire ?</w:t>
            </w:r>
          </w:p>
        </w:tc>
      </w:tr>
    </w:tbl>
    <w:p>
      <w:pPr>
        <w:spacing w:after="20"/>
      </w:pPr>
    </w:p>
    <w:p>
      <w:pPr>
        <w:pStyle w:val="ListBullet"/>
      </w:pPr>
      <w:r>
        <w:rPr>
          <w:rFonts w:ascii="Arial" w:hAnsi="Arial"/>
          <w:b w:val="0"/>
          <w:i w:val="0"/>
          <w:color w:val="20282D"/>
          <w:sz w:val="21"/>
        </w:rPr>
        <w:t>Légifrance - Code de procédure civile, articles 16, 232, 237, 238, 244, 246, 275, 276, 278, 279 et 282.</w:t>
      </w:r>
    </w:p>
    <w:p>
      <w:pPr>
        <w:pStyle w:val="ListBullet"/>
      </w:pPr>
      <w:r>
        <w:rPr>
          <w:rFonts w:ascii="Arial" w:hAnsi="Arial"/>
          <w:b w:val="0"/>
          <w:i w:val="0"/>
          <w:color w:val="20282D"/>
          <w:sz w:val="21"/>
        </w:rPr>
        <w:t>CNIL - Minimiser les données collectées, 27 janvier 2020.</w:t>
      </w:r>
    </w:p>
    <w:p>
      <w:pPr>
        <w:pStyle w:val="ListBullet"/>
      </w:pPr>
      <w:r>
        <w:rPr>
          <w:rFonts w:ascii="Arial" w:hAnsi="Arial"/>
          <w:b w:val="0"/>
          <w:i w:val="0"/>
          <w:color w:val="20282D"/>
          <w:sz w:val="21"/>
        </w:rPr>
        <w:t>CNIL - Guide de la sécurité des données personnelles.</w:t>
      </w:r>
    </w:p>
    <w:p>
      <w:pPr>
        <w:pStyle w:val="ListBullet"/>
      </w:pPr>
      <w:r>
        <w:rPr>
          <w:rFonts w:ascii="Arial" w:hAnsi="Arial"/>
          <w:b w:val="0"/>
          <w:i w:val="0"/>
          <w:color w:val="20282D"/>
          <w:sz w:val="21"/>
        </w:rPr>
        <w:t>CNIL - Les durées de conservation des données, 2 avril 2026.</w:t>
      </w:r>
    </w:p>
    <w:p>
      <w:pPr>
        <w:pStyle w:val="ListBullet"/>
      </w:pPr>
      <w:r>
        <w:rPr>
          <w:rFonts w:ascii="Arial" w:hAnsi="Arial"/>
          <w:b w:val="0"/>
          <w:i w:val="0"/>
          <w:color w:val="20282D"/>
          <w:sz w:val="21"/>
        </w:rPr>
        <w:t>Cour de cassation, 2e chambre civile, 21 janvier 2010, pourvoi no 07-13.552.</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7F3EA"/>
            <w:tcMar>
              <w:top w:w="130" w:type="dxa"/>
              <w:start w:w="170" w:type="dxa"/>
              <w:bottom w:w="130" w:type="dxa"/>
              <w:end w:w="170" w:type="dxa"/>
            </w:tcMar>
            <w:vAlign w:val="center"/>
          </w:tcPr>
          <w:p>
            <w:pPr>
              <w:spacing w:after="0"/>
            </w:pPr>
            <w:r>
              <w:rPr>
                <w:rFonts w:ascii="Arial" w:hAnsi="Arial"/>
                <w:b/>
                <w:i w:val="0"/>
                <w:color w:val="994A28"/>
                <w:sz w:val="21"/>
              </w:rPr>
              <w:t xml:space="preserve">Limite — </w:t>
            </w:r>
            <w:r>
              <w:rPr>
                <w:rFonts w:ascii="Arial" w:hAnsi="Arial"/>
                <w:b w:val="0"/>
                <w:i w:val="0"/>
                <w:color w:val="20282D"/>
                <w:sz w:val="21"/>
              </w:rPr>
              <w:t>Ce corrigé propose des raisonnements possibles. Les productions longues et toute utilisation professionnelle appellent une revue humaine dans le cadre de la mission réelle.</w:t>
            </w:r>
          </w:p>
        </w:tc>
      </w:tr>
    </w:tbl>
    <w:p>
      <w:pPr>
        <w:spacing w:after="20"/>
      </w:pPr>
    </w:p>
    <w:sectPr w:rsidR="00FC693F" w:rsidRPr="0006063C" w:rsidSect="00034616">
      <w:headerReference w:type="default" r:id="rId9"/>
      <w:footerReference w:type="default" r:id="rId10"/>
      <w:pgSz w:w="11906" w:h="16838"/>
      <w:pgMar w:top="879" w:right="935" w:bottom="879" w:left="935" w:header="369"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val="0"/>
        <w:i w:val="0"/>
        <w:color w:val="5D686E"/>
        <w:sz w:val="16"/>
      </w:rPr>
      <w:t>P-05  |  Diagnostic expert et rédaction de rapports  |  0.1.0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Arial" w:hAnsi="Arial"/>
        <w:b/>
        <w:i w:val="0"/>
        <w:color w:val="994A28"/>
        <w:sz w:val="17"/>
      </w:rPr>
      <w:t>INSTITUT DE L'EXPERTISE EN BÂTIMENT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8" w:lineRule="auto"/>
    </w:pPr>
    <w:rPr>
      <w:rFonts w:ascii="Arial" w:hAnsi="Arial"/>
      <w:color w:val="20282D"/>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00" w:after="160"/>
      <w:outlineLvl w:val="0"/>
    </w:pPr>
    <w:rPr>
      <w:rFonts w:asciiTheme="majorHAnsi" w:eastAsiaTheme="majorEastAsia" w:hAnsiTheme="majorHAnsi" w:cstheme="majorBidi" w:ascii="Arial" w:hAnsi="Arial"/>
      <w:b/>
      <w:bCs/>
      <w:color w:val="243746"/>
      <w:sz w:val="34"/>
      <w:szCs w:val="28"/>
    </w:rPr>
  </w:style>
  <w:style w:type="paragraph" w:styleId="Heading2">
    <w:name w:val="heading 2"/>
    <w:basedOn w:val="Normal"/>
    <w:next w:val="Normal"/>
    <w:link w:val="Heading2Char"/>
    <w:uiPriority w:val="9"/>
    <w:unhideWhenUsed/>
    <w:qFormat/>
    <w:rsid w:val="00FC693F"/>
    <w:pPr>
      <w:keepNext/>
      <w:keepLines/>
      <w:spacing w:before="220" w:after="120"/>
      <w:outlineLvl w:val="1"/>
    </w:pPr>
    <w:rPr>
      <w:rFonts w:asciiTheme="majorHAnsi" w:eastAsiaTheme="majorEastAsia" w:hAnsiTheme="majorHAnsi" w:cstheme="majorBidi" w:ascii="Arial" w:hAnsi="Arial"/>
      <w:b/>
      <w:bCs/>
      <w:color w:val="994A28"/>
      <w:sz w:val="27"/>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b/>
      <w:bCs/>
      <w:color w:val="637565"/>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Arial" w:hAnsi="Arial"/>
      <w:b/>
      <w:color w:val="243746"/>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78" w:lineRule="auto"/>
      <w:ind w:left="397" w:hanging="198"/>
      <w:contextualSpacing/>
    </w:pPr>
    <w:rPr>
      <w:rFonts w:ascii="Arial" w:hAnsi="Arial"/>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78" w:lineRule="auto"/>
      <w:ind w:left="397" w:hanging="198"/>
      <w:contextualSpacing/>
    </w:pPr>
    <w:rPr>
      <w:rFonts w:ascii="Arial" w:hAnsi="Arial"/>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P-05 - Corrigé indicatif</dc:title>
  <dc:subject>Diagnostic expert et rédaction de rapports</dc:subject>
  <dc:creator>Institut de l'Expertise en Bâtiment</dc:creator>
  <cp:keywords>expertise bâtiment, rapport, preuve, contradiction, TRACE</cp:keywords>
  <dc:description>Ressource apprenant - cas entièrement fictif</dc:description>
  <cp:lastModifiedBy/>
  <cp:revision>1</cp:revision>
  <dcterms:created xsi:type="dcterms:W3CDTF">2013-12-23T23:15:00Z</dcterms:created>
  <dcterms:modified xsi:type="dcterms:W3CDTF">2013-12-23T23:15:00Z</dcterms:modified>
  <cp:category/>
</cp:coreProperties>
</file>