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A35F38"/>
          <w:sz w:val="18"/>
        </w:rPr>
        <w:t>S-01  |  PARCOURS OPÉRATIONNEL</w:t>
      </w:r>
    </w:p>
    <w:p>
      <w:pPr>
        <w:pStyle w:val="Title"/>
      </w:pPr>
      <w:r>
        <w:rPr>
          <w:rFonts w:ascii="Arial" w:hAnsi="Arial"/>
          <w:b/>
          <w:i w:val="0"/>
          <w:color w:val="253B4A"/>
          <w:sz w:val="52"/>
        </w:rPr>
        <w:t>CORRIGÉ INDICATIF</w:t>
      </w:r>
    </w:p>
    <w:p>
      <w:r>
        <w:rPr>
          <w:rFonts w:ascii="Arial" w:hAnsi="Arial"/>
          <w:b/>
          <w:i w:val="0"/>
          <w:color w:val="526D61"/>
          <w:sz w:val="26"/>
        </w:rPr>
        <w:t>Ferme des Aulnes - critères de réponses solides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Format — </w:t>
            </w:r>
            <w:r>
              <w:rPr>
                <w:rFonts w:ascii="Arial" w:hAnsi="Arial"/>
                <w:b w:val="0"/>
                <w:i w:val="0"/>
                <w:color w:val="252B2F"/>
                <w:sz w:val="21"/>
              </w:rPr>
              <w:t>7 dossiers | 13 réponses guidées | grille finale à 10 critères</w:t>
            </w:r>
          </w:p>
        </w:tc>
      </w:tr>
    </w:tbl>
    <w:p>
      <w:pPr>
        <w:spacing w:after="20"/>
      </w:pPr>
    </w:p>
    <w:p>
      <w:pPr>
        <w:spacing w:after="60"/>
        <w:jc w:val="center"/>
      </w:pPr>
      <w:r>
        <w:drawing>
          <wp:inline xmlns:a="http://schemas.openxmlformats.org/drawingml/2006/main" xmlns:pic="http://schemas.openxmlformats.org/drawingml/2006/picture">
            <wp:extent cx="5472000" cy="3344000"/>
            <wp:docPr id="1" name="Picture 1" descr="Chaîne originale IEB reliant faits, scénarios, tests utiles et actions proportionnées." title="Illustration originale IEB"/>
            <wp:cNvGraphicFramePr>
              <a:graphicFrameLocks noChangeAspect="1"/>
            </wp:cNvGraphicFramePr>
            <a:graphic>
              <a:graphicData uri="http://schemas.openxmlformats.org/drawingml/2006/picture">
                <pic:pic>
                  <pic:nvPicPr>
                    <pic:cNvPr id="0" name="ieb-asset-s01-000003__raisonnement-investigations-actions__v0.1.0.png"/>
                    <pic:cNvPicPr/>
                  </pic:nvPicPr>
                  <pic:blipFill>
                    <a:blip r:embed="rId11"/>
                    <a:stretch>
                      <a:fillRect/>
                    </a:stretch>
                  </pic:blipFill>
                  <pic:spPr>
                    <a:xfrm>
                      <a:off x="0" y="0"/>
                      <a:ext cx="5472000" cy="3344000"/>
                    </a:xfrm>
                    <a:prstGeom prst="rect"/>
                  </pic:spPr>
                </pic:pic>
              </a:graphicData>
            </a:graphic>
          </wp:inline>
        </w:drawing>
      </w:r>
    </w:p>
    <w:p>
      <w:pPr>
        <w:spacing w:after="160"/>
        <w:jc w:val="center"/>
      </w:pPr>
      <w:r>
        <w:rPr>
          <w:rFonts w:ascii="Arial" w:hAnsi="Arial"/>
          <w:b w:val="0"/>
          <w:i/>
          <w:color w:val="5D686E"/>
          <w:sz w:val="17"/>
        </w:rPr>
        <w:t>Chaîne originale IEB reliant faits, scénarios, tests utiles et actions proportionnées.</w:t>
      </w:r>
    </w:p>
    <w:p>
      <w:r>
        <w:rPr>
          <w:rFonts w:ascii="Arial" w:hAnsi="Arial"/>
          <w:b w:val="0"/>
          <w:i/>
          <w:color w:val="252B2F"/>
          <w:sz w:val="22"/>
        </w:rPr>
        <w:t>Lire une charpente comme un système, construire des preuves localisées et proposer une action proportionnée sans transformer un indice en certitude.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Principe — </w:t>
            </w:r>
            <w:r>
              <w:rPr>
                <w:rFonts w:ascii="Arial" w:hAnsi="Arial"/>
                <w:b w:val="0"/>
                <w:i w:val="0"/>
                <w:color w:val="252B2F"/>
                <w:sz w:val="21"/>
              </w:rPr>
              <w:t>Le corrigé propose une réponse justifiée parmi d'autres possibles. Toute conclusion doit rester compatible avec les faits, les limites et le rôle confié.</w:t>
            </w:r>
          </w:p>
        </w:tc>
      </w:tr>
    </w:tbl>
    <w:p>
      <w:pPr>
        <w:spacing w:after="20"/>
      </w:pPr>
    </w:p>
    <w:p>
      <w:r>
        <w:br w:type="page"/>
      </w:r>
    </w:p>
    <w:p>
      <w:pPr>
        <w:pStyle w:val="Heading1"/>
      </w:pPr>
      <w:r>
        <w:t>1 - Mission et documents</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Demande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D-01 ou D-03 sont bornées ; D-02 doit être recadrée.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Facture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P-03 prouve une facturation, non une exécution conforme.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Plans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A/B sont comparables mais aucun ne prouve seul l'état exécuté.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Chronologie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conserver dates certaines, estimées et alléguées séparément.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pPr>
        <w:pStyle w:val="Heading1"/>
      </w:pPr>
      <w:r>
        <w:t>2 - Système et géométrie</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Fonctions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raisonner dans le système avant de nommer un défaut.</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Mesure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G03 décrit un état au repère N3.</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Série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la valeur manquante n'est pas interpolée ; le bruit interdit une conclusion d'activité.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Transformation</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l'appui déplacé reste une hypothèse documentaire.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r>
        <w:br w:type="page"/>
      </w:r>
    </w:p>
    <w:p>
      <w:pPr>
        <w:pStyle w:val="Heading1"/>
      </w:pPr>
      <w:r>
        <w:t>3 - Accès et trace</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Z5</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STOP jusqu'à protection collective.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Z8</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ADAPTER ou STOP selon consignation.</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Photo</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ensemble, localisation, détail et identifiant stable.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Carnet</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zone, pièce, face, vue, condition et limite.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pPr>
        <w:pStyle w:val="Heading1"/>
      </w:pPr>
      <w:r>
        <w:t>4 - Eau et biologie</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Carte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points H01-H15 gardent méthode, témoin et influence.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H01</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indice à comparer, pas valeur absolue de cause.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Indices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présence, activité, identification, étendue et effet sont distincts.</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Relais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diagnostiqueur ou spécialiste selon la question et le dispositif applicable.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r>
        <w:br w:type="page"/>
      </w:r>
    </w:p>
    <w:p>
      <w:pPr>
        <w:pStyle w:val="Heading1"/>
      </w:pPr>
      <w:r>
        <w:t>5 - Bois et assemblages</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Singularité</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position, orientation et interaction avant qualification.</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Appui</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quatre coupes restent possibles tant que l'about est masqué.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Intrusion</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progression du moins au plus intrusif.</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Seuil</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aucun seuil normatif n'est mémorisé hors version et champ.</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pPr>
        <w:pStyle w:val="Heading1"/>
      </w:pPr>
      <w:r>
        <w:t>6 - Causalité et investigations</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Scénarios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A, B et C produisent des prédictions concurrentes.</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Test</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retenu seulement s'il peut confirmer, affaiblir ou départager.</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Ingénieur</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transmettre géométrie, système, transformations, charges, dommages et question.</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Référence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nature et portée toujours explicites.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r>
        <w:br w:type="page"/>
      </w:r>
    </w:p>
    <w:p>
      <w:pPr>
        <w:pStyle w:val="Heading1"/>
      </w:pPr>
      <w:r>
        <w:t>7 - Rapport intégré</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253B4A"/>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7653"/>
            <w:shd w:fill="253B4A"/>
            <w:tcMar>
              <w:top w:w="100" w:type="dxa"/>
              <w:start w:w="140" w:type="dxa"/>
              <w:bottom w:w="100" w:type="dxa"/>
              <w:end w:w="140" w:type="dxa"/>
            </w:tcMar>
            <w:vAlign w:val="center"/>
          </w:tcPr>
          <w:p>
            <w:pPr>
              <w:spacing w:after="0"/>
              <w:jc w:val="left"/>
            </w:pPr>
            <w:r>
              <w:rPr>
                <w:rFonts w:ascii="Arial" w:hAnsi="Arial"/>
                <w:b/>
                <w:i w:val="0"/>
                <w:color w:val="FFFFFF"/>
                <w:sz w:val="18"/>
              </w:rPr>
              <w:t>Corrigé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Neuf blocs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mission à annexes, sans fusion des statuts.</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Actions</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protéger, comprendre, vérifier, réparer.</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Projet</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vérification structurelle avant changement de charges.</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Conclusion</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réponse bornée, confiance et information manquante.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Critère — </w:t>
            </w:r>
            <w:r>
              <w:rPr>
                <w:rFonts w:ascii="Arial" w:hAnsi="Arial"/>
                <w:b w:val="0"/>
                <w:i w:val="0"/>
                <w:color w:val="252B2F"/>
                <w:sz w:val="21"/>
              </w:rPr>
              <w:t>Une réponse solide indique le fait, sa source, l'interprétation, la limite et l'action proportionnée.</w:t>
            </w:r>
          </w:p>
        </w:tc>
      </w:tr>
    </w:tbl>
    <w:p>
      <w:pPr>
        <w:spacing w:after="20"/>
      </w:pPr>
    </w:p>
    <w:p>
      <w:r>
        <w:br w:type="page"/>
      </w:r>
    </w:p>
    <w:p>
      <w:pPr>
        <w:pStyle w:val="Heading1"/>
      </w:pPr>
      <w:r>
        <w:t>Réponses guidées aux treize étapes</w:t>
      </w:r>
    </w:p>
    <w:tbl>
      <w:tblPr>
        <w:tblStyle w:val="TableGrid"/>
        <w:jc w:val="center"/>
        <w:tblLook w:firstColumn="1" w:firstRow="1" w:lastColumn="0" w:lastRow="0" w:noHBand="0" w:noVBand="1" w:val="04A0"/>
        <w:tblW w:w="9920" w:type="dxa"/>
        <w:tblInd w:w="0" w:type="dxa"/>
        <w:tblLayout w:type="fixed"/>
      </w:tblPr>
      <w:tblGrid>
        <w:gridCol w:w="1133"/>
        <w:gridCol w:w="8787"/>
      </w:tblGrid>
      <w:tr>
        <w:trPr>
          <w:tblHeader w:val="true"/>
        </w:trPr>
        <w:tc>
          <w:tcPr>
            <w:tcW w:type="dxa" w:w="1133"/>
            <w:shd w:fill="253B4A"/>
            <w:tcMar>
              <w:top w:w="100" w:type="dxa"/>
              <w:start w:w="140" w:type="dxa"/>
              <w:bottom w:w="100" w:type="dxa"/>
              <w:end w:w="140" w:type="dxa"/>
            </w:tcMar>
            <w:vAlign w:val="center"/>
          </w:tcPr>
          <w:p>
            <w:pPr>
              <w:spacing w:after="0"/>
              <w:jc w:val="left"/>
            </w:pPr>
            <w:r>
              <w:rPr>
                <w:rFonts w:ascii="Arial" w:hAnsi="Arial"/>
                <w:b/>
                <w:i w:val="0"/>
                <w:color w:val="FFFFFF"/>
                <w:sz w:val="18"/>
              </w:rPr>
              <w:t>Étape</w:t>
            </w:r>
          </w:p>
        </w:tc>
        <w:tc>
          <w:tcPr>
            <w:tcW w:type="dxa" w:w="8787"/>
            <w:shd w:fill="253B4A"/>
            <w:tcMar>
              <w:top w:w="100" w:type="dxa"/>
              <w:start w:w="140" w:type="dxa"/>
              <w:bottom w:w="100" w:type="dxa"/>
              <w:end w:w="140" w:type="dxa"/>
            </w:tcMar>
            <w:vAlign w:val="center"/>
          </w:tcPr>
          <w:p>
            <w:pPr>
              <w:spacing w:after="0"/>
              <w:jc w:val="left"/>
            </w:pPr>
            <w:r>
              <w:rPr>
                <w:rFonts w:ascii="Arial" w:hAnsi="Arial"/>
                <w:b/>
                <w:i w:val="0"/>
                <w:color w:val="FFFFFF"/>
                <w:sz w:val="18"/>
              </w:rPr>
              <w:t>Réponse attendue</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Q01</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Borner la mission aux zones accessibles, aux indices ciblés et à la décision d'aménagement.</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Q02</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Fait localisé -&gt; indice interprété -&gt; hypothèse -&gt; conclusion bornée.</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Q03</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Contreventement/stabilité ; panne/appui ; entrait/liaison ; appui/transmission.</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Q04</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Zones, parties non accessibles et questions liées aux preuves ; jamais une conclusion préalable.</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Q05</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STOP : documenter depuis une zone sûre et définir les moyens de reprise.</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Q06</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Une mesure unique décrit un état daté, pas une évolution ni une capacité.</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Q07</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Points localisés, réglages, unité, conditions, témoins et répétitions.</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Q08</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Indice, activité, identification, étendue et effet structurel sont distincts.</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Q09</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Position, orientation, interaction et étendue avant toute qualification.</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Q10</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Trois scénarios concurrents avec prédictions et contre-indices.</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Q11</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Choisir l'investigation qui change une décision définie.</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Q12</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Distinguer réglementation, norme, contrat, guide et méthode IEB.</w:t>
            </w:r>
          </w:p>
        </w:tc>
      </w:tr>
      <w:tr>
        <w:tc>
          <w:tcPr>
            <w:tcW w:type="dxa" w:w="1133"/>
            <w:tcMar>
              <w:top w:w="100" w:type="dxa"/>
              <w:start w:w="140" w:type="dxa"/>
              <w:bottom w:w="100" w:type="dxa"/>
              <w:end w:w="140" w:type="dxa"/>
            </w:tcMar>
            <w:vAlign w:val="center"/>
          </w:tcPr>
          <w:p>
            <w:pPr>
              <w:spacing w:after="0"/>
            </w:pPr>
            <w:r>
              <w:rPr>
                <w:rFonts w:ascii="Arial" w:hAnsi="Arial"/>
                <w:b w:val="0"/>
                <w:i w:val="0"/>
                <w:color w:val="252B2F"/>
                <w:sz w:val="18"/>
              </w:rPr>
              <w:t>Q13</w:t>
            </w:r>
          </w:p>
        </w:tc>
        <w:tc>
          <w:tcPr>
            <w:tcW w:type="dxa" w:w="8787"/>
            <w:tcMar>
              <w:top w:w="100" w:type="dxa"/>
              <w:start w:w="140" w:type="dxa"/>
              <w:bottom w:w="100" w:type="dxa"/>
              <w:end w:w="140" w:type="dxa"/>
            </w:tcMar>
            <w:vAlign w:val="center"/>
          </w:tcPr>
          <w:p>
            <w:pPr>
              <w:spacing w:after="0"/>
            </w:pPr>
            <w:r>
              <w:rPr>
                <w:rFonts w:ascii="Arial" w:hAnsi="Arial"/>
                <w:b w:val="0"/>
                <w:i w:val="0"/>
                <w:color w:val="252B2F"/>
                <w:sz w:val="18"/>
              </w:rPr>
              <w:t>Rédiger fait, interprétation, limite et action pour chaque point majeur.</w:t>
            </w:r>
          </w:p>
        </w:tc>
      </w:tr>
    </w:tbl>
    <w:p>
      <w:pPr>
        <w:spacing w:after="20"/>
      </w:pPr>
    </w:p>
    <w:p>
      <w:r>
        <w:br w:type="page"/>
      </w:r>
    </w:p>
    <w:p>
      <w:pPr>
        <w:pStyle w:val="Heading1"/>
      </w:pPr>
      <w:r>
        <w:t>Corrigé des quatorze évaluations</w:t>
      </w:r>
    </w:p>
    <w:tbl>
      <w:tblPr>
        <w:tblStyle w:val="TableGrid"/>
        <w:jc w:val="center"/>
        <w:tblLook w:firstColumn="1" w:firstRow="1" w:lastColumn="0" w:lastRow="0" w:noHBand="0" w:noVBand="1" w:val="04A0"/>
        <w:tblW w:w="9919" w:type="dxa"/>
        <w:tblInd w:w="0" w:type="dxa"/>
        <w:tblLayout w:type="fixed"/>
      </w:tblPr>
      <w:tblGrid>
        <w:gridCol w:w="1020"/>
        <w:gridCol w:w="1700"/>
        <w:gridCol w:w="3118"/>
        <w:gridCol w:w="4081"/>
      </w:tblGrid>
      <w:tr>
        <w:trPr>
          <w:tblHeader w:val="true"/>
        </w:trPr>
        <w:tc>
          <w:tcPr>
            <w:tcW w:type="dxa" w:w="1020"/>
            <w:shd w:fill="253B4A"/>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700"/>
            <w:shd w:fill="253B4A"/>
            <w:tcMar>
              <w:top w:w="100" w:type="dxa"/>
              <w:start w:w="140" w:type="dxa"/>
              <w:bottom w:w="100" w:type="dxa"/>
              <w:end w:w="140" w:type="dxa"/>
            </w:tcMar>
            <w:vAlign w:val="center"/>
          </w:tcPr>
          <w:p>
            <w:pPr>
              <w:spacing w:after="0"/>
              <w:jc w:val="left"/>
            </w:pPr>
            <w:r>
              <w:rPr>
                <w:rFonts w:ascii="Arial" w:hAnsi="Arial"/>
                <w:b/>
                <w:i w:val="0"/>
                <w:color w:val="FFFFFF"/>
                <w:sz w:val="18"/>
              </w:rPr>
              <w:t>Mode</w:t>
            </w:r>
          </w:p>
        </w:tc>
        <w:tc>
          <w:tcPr>
            <w:tcW w:type="dxa" w:w="3118"/>
            <w:shd w:fill="253B4A"/>
            <w:tcMar>
              <w:top w:w="100" w:type="dxa"/>
              <w:start w:w="140" w:type="dxa"/>
              <w:bottom w:w="100" w:type="dxa"/>
              <w:end w:w="140" w:type="dxa"/>
            </w:tcMar>
            <w:vAlign w:val="center"/>
          </w:tcPr>
          <w:p>
            <w:pPr>
              <w:spacing w:after="0"/>
              <w:jc w:val="left"/>
            </w:pPr>
            <w:r>
              <w:rPr>
                <w:rFonts w:ascii="Arial" w:hAnsi="Arial"/>
                <w:b/>
                <w:i w:val="0"/>
                <w:color w:val="FFFFFF"/>
                <w:sz w:val="18"/>
              </w:rPr>
              <w:t>Réponse</w:t>
            </w:r>
          </w:p>
        </w:tc>
        <w:tc>
          <w:tcPr>
            <w:tcW w:type="dxa" w:w="4081"/>
            <w:shd w:fill="253B4A"/>
            <w:tcMar>
              <w:top w:w="100" w:type="dxa"/>
              <w:start w:w="140" w:type="dxa"/>
              <w:bottom w:w="100" w:type="dxa"/>
              <w:end w:w="140" w:type="dxa"/>
            </w:tcMar>
            <w:vAlign w:val="center"/>
          </w:tcPr>
          <w:p>
            <w:pPr>
              <w:spacing w:after="0"/>
              <w:jc w:val="left"/>
            </w:pPr>
            <w:r>
              <w:rPr>
                <w:rFonts w:ascii="Arial" w:hAnsi="Arial"/>
                <w:b/>
                <w:i w:val="0"/>
                <w:color w:val="FFFFFF"/>
                <w:sz w:val="18"/>
              </w:rPr>
              <w:t>Feedback</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Q0001</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Q0002</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ordering</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 ; D ; C ; A</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Q0003</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matching</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contreventement -&gt; stabilité spatiale ; panne -&gt; appui des chevrons ou de la couverture selon le système ; entrait -&gt; liaison de ferme participant au fonctionnement défini ; appui -&gt; transmission des réactions au support</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Q0004</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multiple_choice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A ; B ; C</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Q0005</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Q0006</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Q0007</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multiple_choice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A ; B ; C</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Q0008</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Q0009</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multiple_choice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A ; B ; C</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Q0010</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Q0011</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A</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Q0012</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single_choice</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Q0013</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ordering</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B ; C ; D ; A</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r>
        <w:tc>
          <w:tcPr>
            <w:tcW w:type="dxa" w:w="1020"/>
            <w:tcMar>
              <w:top w:w="100" w:type="dxa"/>
              <w:start w:w="140" w:type="dxa"/>
              <w:bottom w:w="100" w:type="dxa"/>
              <w:end w:w="140" w:type="dxa"/>
            </w:tcMar>
            <w:vAlign w:val="center"/>
          </w:tcPr>
          <w:p>
            <w:pPr>
              <w:spacing w:after="0"/>
            </w:pPr>
            <w:r>
              <w:rPr>
                <w:rFonts w:ascii="Arial" w:hAnsi="Arial"/>
                <w:b w:val="0"/>
                <w:i w:val="0"/>
                <w:color w:val="252B2F"/>
                <w:sz w:val="18"/>
              </w:rPr>
              <w:t>Q0014</w:t>
            </w:r>
          </w:p>
        </w:tc>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structural_diagnostic_report_human_review</w:t>
            </w:r>
          </w:p>
        </w:tc>
        <w:tc>
          <w:tcPr>
            <w:tcW w:type="dxa" w:w="3118"/>
            <w:tcMar>
              <w:top w:w="100" w:type="dxa"/>
              <w:start w:w="140" w:type="dxa"/>
              <w:bottom w:w="100" w:type="dxa"/>
              <w:end w:w="140" w:type="dxa"/>
            </w:tcMar>
            <w:vAlign w:val="center"/>
          </w:tcPr>
          <w:p>
            <w:pPr>
              <w:spacing w:after="0"/>
            </w:pPr>
            <w:r>
              <w:rPr>
                <w:rFonts w:ascii="Arial" w:hAnsi="Arial"/>
                <w:b w:val="0"/>
                <w:i w:val="0"/>
                <w:color w:val="252B2F"/>
                <w:sz w:val="18"/>
              </w:rPr>
              <w:t>grille humaine</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La réponse conserve la chaîne preuve, limite et décision dans le champ de compétence.</w:t>
            </w:r>
          </w:p>
        </w:tc>
      </w:tr>
    </w:tbl>
    <w:p>
      <w:pPr>
        <w:spacing w:after="20"/>
      </w:pPr>
    </w:p>
    <w:p>
      <w:r>
        <w:br w:type="page"/>
      </w:r>
    </w:p>
    <w:p>
      <w:pPr>
        <w:pStyle w:val="Heading1"/>
      </w:pPr>
      <w:r>
        <w:t>Grille humaine de la synthèse finale</w:t>
      </w:r>
    </w:p>
    <w:tbl>
      <w:tblPr>
        <w:tblStyle w:val="TableGrid"/>
        <w:jc w:val="center"/>
        <w:tblLook w:firstColumn="1" w:firstRow="1" w:lastColumn="0" w:lastRow="0" w:noHBand="0" w:noVBand="1" w:val="04A0"/>
        <w:tblW w:w="9920" w:type="dxa"/>
        <w:tblInd w:w="0" w:type="dxa"/>
        <w:tblLayout w:type="fixed"/>
      </w:tblPr>
      <w:tblGrid>
        <w:gridCol w:w="850"/>
        <w:gridCol w:w="2834"/>
        <w:gridCol w:w="6236"/>
      </w:tblGrid>
      <w:tr>
        <w:trPr>
          <w:tblHeader w:val="true"/>
        </w:trPr>
        <w:tc>
          <w:tcPr>
            <w:tcW w:type="dxa" w:w="850"/>
            <w:shd w:fill="253B4A"/>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2834"/>
            <w:shd w:fill="253B4A"/>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6236"/>
            <w:shd w:fill="253B4A"/>
            <w:tcMar>
              <w:top w:w="100" w:type="dxa"/>
              <w:start w:w="140" w:type="dxa"/>
              <w:bottom w:w="100" w:type="dxa"/>
              <w:end w:w="140" w:type="dxa"/>
            </w:tcMar>
            <w:vAlign w:val="center"/>
          </w:tcPr>
          <w:p>
            <w:pPr>
              <w:spacing w:after="0"/>
              <w:jc w:val="left"/>
            </w:pPr>
            <w:r>
              <w:rPr>
                <w:rFonts w:ascii="Arial" w:hAnsi="Arial"/>
                <w:b/>
                <w:i w:val="0"/>
                <w:color w:val="FFFFFF"/>
                <w:sz w:val="18"/>
              </w:rPr>
              <w:t>Preuve attendue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R1</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Mission bornée</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question, usage et exclusions explicites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R2</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Traçabilité</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chaque fait possède zone, source et date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R3</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Sécurité</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les décisions d'accès sont justifiées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R4</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Système</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pièces, fonctions et transferts sont reliés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R5</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Mesures</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méthode, unité, repère et incertitude visibles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R6</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Scénarios</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au moins deux branches et contre-indices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R7</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Investigations</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chaque test peut modifier la décision</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R8</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Références</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nature, version, champ et limite distingués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R9</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Actions</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protéger, comprendre, vérifier, réparer séparés</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R10</w:t>
            </w:r>
          </w:p>
        </w:tc>
        <w:tc>
          <w:tcPr>
            <w:tcW w:type="dxa" w:w="2834"/>
            <w:tcMar>
              <w:top w:w="100" w:type="dxa"/>
              <w:start w:w="140" w:type="dxa"/>
              <w:bottom w:w="100" w:type="dxa"/>
              <w:end w:w="140" w:type="dxa"/>
            </w:tcMar>
            <w:vAlign w:val="center"/>
          </w:tcPr>
          <w:p>
            <w:pPr>
              <w:spacing w:after="0"/>
            </w:pPr>
            <w:r>
              <w:rPr>
                <w:rFonts w:ascii="Arial" w:hAnsi="Arial"/>
                <w:b w:val="0"/>
                <w:i w:val="0"/>
                <w:color w:val="252B2F"/>
                <w:sz w:val="18"/>
              </w:rPr>
              <w:t>Expression</w:t>
            </w:r>
          </w:p>
        </w:tc>
        <w:tc>
          <w:tcPr>
            <w:tcW w:type="dxa" w:w="6236"/>
            <w:tcMar>
              <w:top w:w="100" w:type="dxa"/>
              <w:start w:w="140" w:type="dxa"/>
              <w:bottom w:w="100" w:type="dxa"/>
              <w:end w:w="140" w:type="dxa"/>
            </w:tcMar>
            <w:vAlign w:val="center"/>
          </w:tcPr>
          <w:p>
            <w:pPr>
              <w:spacing w:after="0"/>
            </w:pPr>
            <w:r>
              <w:rPr>
                <w:rFonts w:ascii="Arial" w:hAnsi="Arial"/>
                <w:b w:val="0"/>
                <w:i w:val="0"/>
                <w:color w:val="252B2F"/>
                <w:sz w:val="18"/>
              </w:rPr>
              <w:t>faits, hypothèses, recommandations et limites lisibles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Décision — </w:t>
            </w:r>
            <w:r>
              <w:rPr>
                <w:rFonts w:ascii="Arial" w:hAnsi="Arial"/>
                <w:b w:val="0"/>
                <w:i w:val="0"/>
                <w:color w:val="252B2F"/>
                <w:sz w:val="21"/>
              </w:rPr>
              <w:t>Acquis si la réponse finale couvre la mission, les preuves, les limites, les scénarios et les actions avec une expression professionnelle. Une faiblesse majeure de sécurité ou de traçabilité impose une reprise ciblée.</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D686E"/>
        <w:sz w:val="16"/>
      </w:rPr>
      <w:t>S-01  |  Diagnostic et expertise de la charpente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A35F38"/>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52B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253B4A"/>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A35F38"/>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526D6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253B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S-01 - Corrigé indicatif</dc:title>
  <dc:subject>Diagnostic et expertise de la charpente</dc:subject>
  <dc:creator>Institut de l'Expertise en Bâtiment</dc:creator>
  <cp:keywords>charpente, mission, inspection, géométrie, humidité, raisonnement, rapport</cp:keywords>
  <dc:description>Ressource apprenant - Ferme des Aulnes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