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A7552D"/>
          <w:sz w:val="18"/>
        </w:rPr>
        <w:t>T-02  |  PARCOURS OPÉRATIONNEL</w:t>
      </w:r>
    </w:p>
    <w:p>
      <w:pPr>
        <w:pStyle w:val="Title"/>
      </w:pPr>
      <w:r>
        <w:rPr>
          <w:rFonts w:ascii="Arial" w:hAnsi="Arial"/>
          <w:b/>
          <w:i w:val="0"/>
          <w:color w:val="173E4E"/>
          <w:sz w:val="52"/>
        </w:rPr>
        <w:t>CORRIGÉ INDICATIF</w:t>
      </w:r>
    </w:p>
    <w:p>
      <w:r>
        <w:rPr>
          <w:rFonts w:ascii="Arial" w:hAnsi="Arial"/>
          <w:b/>
          <w:i w:val="0"/>
          <w:color w:val="315C4B"/>
          <w:sz w:val="26"/>
        </w:rPr>
        <w:t>Projet Balise — réponses motivées et grille humaine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Format — </w:t>
            </w:r>
            <w:r>
              <w:rPr>
                <w:rFonts w:ascii="Arial" w:hAnsi="Arial"/>
                <w:b w:val="0"/>
                <w:i w:val="0"/>
                <w:color w:val="242928"/>
                <w:sz w:val="21"/>
              </w:rPr>
              <w:t>5 ensembles corrigés | Q0001 à Q0008 | réponses non uniques</w:t>
            </w:r>
          </w:p>
        </w:tc>
      </w:tr>
    </w:tbl>
    <w:p>
      <w:pPr>
        <w:spacing w:after="20"/>
      </w:pPr>
    </w:p>
    <w:p>
      <w:pPr>
        <w:spacing w:after="60"/>
        <w:jc w:val="center"/>
      </w:pPr>
      <w:r>
        <w:drawing>
          <wp:inline xmlns:a="http://schemas.openxmlformats.org/drawingml/2006/main" xmlns:pic="http://schemas.openxmlformats.org/drawingml/2006/picture">
            <wp:extent cx="5472000" cy="3648000"/>
            <wp:docPr id="1" name="Picture 1" descr="Cockpit original IEB du Projet Balise : huit stades distincts du contact à la recommandation, capacité et décisions continuer, modifier ou arrêter. Toutes les données sont synthétiques." title="Illustration originale IEB"/>
            <wp:cNvGraphicFramePr>
              <a:graphicFrameLocks noChangeAspect="1"/>
            </wp:cNvGraphicFramePr>
            <a:graphic>
              <a:graphicData uri="http://schemas.openxmlformats.org/drawingml/2006/picture">
                <pic:pic>
                  <pic:nvPicPr>
                    <pic:cNvPr id="0" name="ieb-asset-t02-000002__cockpit-90-jours-flux-capacite__v0.2.0.png"/>
                    <pic:cNvPicPr/>
                  </pic:nvPicPr>
                  <pic:blipFill>
                    <a:blip r:embed="rId11"/>
                    <a:stretch>
                      <a:fillRect/>
                    </a:stretch>
                  </pic:blipFill>
                  <pic:spPr>
                    <a:xfrm>
                      <a:off x="0" y="0"/>
                      <a:ext cx="5472000" cy="3648000"/>
                    </a:xfrm>
                    <a:prstGeom prst="rect"/>
                  </pic:spPr>
                </pic:pic>
              </a:graphicData>
            </a:graphic>
          </wp:inline>
        </w:drawing>
      </w:r>
    </w:p>
    <w:p>
      <w:pPr>
        <w:spacing w:after="160"/>
        <w:jc w:val="center"/>
      </w:pPr>
      <w:r>
        <w:rPr>
          <w:rFonts w:ascii="Arial" w:hAnsi="Arial"/>
          <w:b w:val="0"/>
          <w:i/>
          <w:color w:val="5E6662"/>
          <w:sz w:val="17"/>
        </w:rPr>
        <w:t>Cockpit original IEB du Projet Balise : huit stades distincts du contact à la recommandation, capacité et décisions continuer, modifier ou arrêter. Toutes les données sont synthétiques.</w:t>
      </w:r>
    </w:p>
    <w:p>
      <w:r>
        <w:rPr>
          <w:rFonts w:ascii="Arial" w:hAnsi="Arial"/>
          <w:b w:val="0"/>
          <w:i/>
          <w:color w:val="242928"/>
          <w:sz w:val="22"/>
        </w:rPr>
        <w:t>Une offre bornée, des protections vérifiées et une économie pilotée permettent de décider quoi accepter, décaler, refuser ou orienter.</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Principe — </w:t>
            </w:r>
            <w:r>
              <w:rPr>
                <w:rFonts w:ascii="Arial" w:hAnsi="Arial"/>
                <w:b w:val="0"/>
                <w:i w:val="0"/>
                <w:color w:val="242928"/>
                <w:sz w:val="21"/>
              </w:rPr>
              <w:t>Comparez la décision, la preuve, l'unité, la source et la limite. Les réponses proposées servent de repères et ne doivent pas être recopiées mécaniquement.</w:t>
            </w:r>
          </w:p>
        </w:tc>
      </w:tr>
    </w:tbl>
    <w:p>
      <w:pPr>
        <w:spacing w:after="20"/>
      </w:pPr>
    </w:p>
    <w:p>
      <w:r>
        <w:br w:type="page"/>
      </w:r>
    </w:p>
    <w:p>
      <w:pPr>
        <w:pStyle w:val="Heading1"/>
      </w:pPr>
      <w:r>
        <w:t>Corrigé — Offre et qualification</w:t>
      </w:r>
    </w:p>
    <w:tbl>
      <w:tblPr>
        <w:tblStyle w:val="TableGrid"/>
        <w:jc w:val="center"/>
        <w:tblLook w:firstColumn="1" w:firstRow="1" w:lastColumn="0" w:lastRow="0" w:noHBand="0" w:noVBand="1" w:val="04A0"/>
        <w:tblW w:w="9920" w:type="dxa"/>
        <w:tblInd w:w="0" w:type="dxa"/>
        <w:tblLayout w:type="fixed"/>
      </w:tblPr>
      <w:tblGrid>
        <w:gridCol w:w="850"/>
        <w:gridCol w:w="1700"/>
        <w:gridCol w:w="7370"/>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Décision</w:t>
            </w:r>
          </w:p>
        </w:tc>
        <w:tc>
          <w:tcPr>
            <w:tcW w:type="dxa" w:w="7370"/>
            <w:shd w:fill="173E4E"/>
            <w:tcMar>
              <w:top w:w="100" w:type="dxa"/>
              <w:start w:w="140" w:type="dxa"/>
              <w:bottom w:w="100" w:type="dxa"/>
              <w:end w:w="140" w:type="dxa"/>
            </w:tcMar>
            <w:vAlign w:val="center"/>
          </w:tcPr>
          <w:p>
            <w:pPr>
              <w:spacing w:after="0"/>
              <w:jc w:val="left"/>
            </w:pPr>
            <w:r>
              <w:rPr>
                <w:rFonts w:ascii="Arial" w:hAnsi="Arial"/>
                <w:b/>
                <w:i w:val="0"/>
                <w:color w:val="FFFFFF"/>
                <w:sz w:val="18"/>
              </w:rPr>
              <w:t>Correction motivée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OF-01</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À RECADRER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Cible, décision, livrable et exclusions sont absents ; la promesse est absolue.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OF-02</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EXPLOITABLE</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Le public, la décision, le livrable et la frontière sont visibles.</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OF-03</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À REFUSER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La promesse porte sur une décision de tiers et une qualification hors champ.</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OF-04</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EXPLOITABLE</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L'acte, la sortie, les conditions et le relais sont explicites.</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OF-05</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À RECADRER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Le statut n'est pas établi, la preuve de capacité manque et le résultat est invérifiable.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OF-06</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EXPLOITABLE</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La valeur apportée et les exclusions sont compréhensibles.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Carte Balise — </w:t>
            </w:r>
            <w:r>
              <w:rPr>
                <w:rFonts w:ascii="Arial" w:hAnsi="Arial"/>
                <w:b w:val="0"/>
                <w:i w:val="0"/>
                <w:color w:val="242928"/>
                <w:sz w:val="21"/>
              </w:rPr>
              <w:t>OF-02 est la base la plus cohérente avec SEG-01 : elle relie la situation à une décision et un livrable tout en conservant la limite. OF-04 ou OF-06 peuvent convenir à d'autres segments si les appuis sont démontrés.</w:t>
            </w:r>
          </w:p>
        </w:tc>
      </w:tr>
    </w:tbl>
    <w:p>
      <w:pPr>
        <w:spacing w:after="20"/>
      </w:pPr>
    </w:p>
    <w:p>
      <w:r>
        <w:br w:type="page"/>
      </w:r>
    </w:p>
    <w:p>
      <w:pPr>
        <w:pStyle w:val="Heading1"/>
      </w:pPr>
      <w:r>
        <w:t>Corrigé — Quatre sorties de qualification</w:t>
      </w:r>
    </w:p>
    <w:tbl>
      <w:tblPr>
        <w:tblStyle w:val="TableGrid"/>
        <w:jc w:val="center"/>
        <w:tblLook w:firstColumn="1" w:firstRow="1" w:lastColumn="0" w:lastRow="0" w:noHBand="0" w:noVBand="1" w:val="04A0"/>
        <w:tblW w:w="9920" w:type="dxa"/>
        <w:tblInd w:w="0" w:type="dxa"/>
        <w:tblLayout w:type="fixed"/>
      </w:tblPr>
      <w:tblGrid>
        <w:gridCol w:w="850"/>
        <w:gridCol w:w="1700"/>
        <w:gridCol w:w="7370"/>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Sortie</w:t>
            </w:r>
          </w:p>
        </w:tc>
        <w:tc>
          <w:tcPr>
            <w:tcW w:type="dxa" w:w="7370"/>
            <w:shd w:fill="173E4E"/>
            <w:tcMar>
              <w:top w:w="100" w:type="dxa"/>
              <w:start w:w="140" w:type="dxa"/>
              <w:bottom w:w="100" w:type="dxa"/>
              <w:end w:w="140" w:type="dxa"/>
            </w:tcMar>
            <w:vAlign w:val="center"/>
          </w:tcPr>
          <w:p>
            <w:pPr>
              <w:spacing w:after="0"/>
              <w:jc w:val="left"/>
            </w:pPr>
            <w:r>
              <w:rPr>
                <w:rFonts w:ascii="Arial" w:hAnsi="Arial"/>
                <w:b/>
                <w:i w:val="0"/>
                <w:color w:val="FFFFFF"/>
                <w:sz w:val="18"/>
              </w:rPr>
              <w:t>Motif et condition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DEM-01</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ACCEPTER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Accepter après contrôles documentaires et accord explicite sur la mission.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DEM-02</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CLARIFIER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Clarifier accès, usage, destinataires et information attendue avant toute promesse.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DEM-03</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REFUSER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Refuser le mandat tel qu'il est formulé ; expliquer la frontière sans entrer dans le diagnostic.</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DEM-04</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ORIENTER</w:t>
            </w:r>
          </w:p>
        </w:tc>
        <w:tc>
          <w:tcPr>
            <w:tcW w:type="dxa" w:w="7370"/>
            <w:tcMar>
              <w:top w:w="100" w:type="dxa"/>
              <w:start w:w="140" w:type="dxa"/>
              <w:bottom w:w="100" w:type="dxa"/>
              <w:end w:w="140" w:type="dxa"/>
            </w:tcMar>
            <w:vAlign w:val="center"/>
          </w:tcPr>
          <w:p>
            <w:pPr>
              <w:spacing w:after="0"/>
            </w:pPr>
            <w:r>
              <w:rPr>
                <w:rFonts w:ascii="Arial" w:hAnsi="Arial"/>
                <w:b w:val="0"/>
                <w:i w:val="0"/>
                <w:color w:val="242928"/>
                <w:sz w:val="18"/>
              </w:rPr>
              <w:t>Orienter vers la compétence adaptée et tracer le motif du relais.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Q0001 et Q0002 — </w:t>
            </w:r>
            <w:r>
              <w:rPr>
                <w:rFonts w:ascii="Arial" w:hAnsi="Arial"/>
                <w:b w:val="0"/>
                <w:i w:val="0"/>
                <w:color w:val="242928"/>
                <w:sz w:val="21"/>
              </w:rPr>
              <w:t>Une offre ne vaut que pour un segment et une décision identifiables. La sortie se décide après les neuf contrôles, non selon l'envie de remplir le planning.</w:t>
            </w:r>
          </w:p>
        </w:tc>
      </w:tr>
    </w:tbl>
    <w:p>
      <w:pPr>
        <w:spacing w:after="20"/>
      </w:pPr>
    </w:p>
    <w:p>
      <w:r>
        <w:br w:type="page"/>
      </w:r>
    </w:p>
    <w:p>
      <w:pPr>
        <w:pStyle w:val="Heading1"/>
      </w:pPr>
      <w:r>
        <w:t>Corrigé — Matrice CHOIX</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7653"/>
            <w:shd w:fill="173E4E"/>
            <w:tcMar>
              <w:top w:w="100" w:type="dxa"/>
              <w:start w:w="140" w:type="dxa"/>
              <w:bottom w:w="100" w:type="dxa"/>
              <w:end w:w="140" w:type="dxa"/>
            </w:tcMar>
            <w:vAlign w:val="center"/>
          </w:tcPr>
          <w:p>
            <w:pPr>
              <w:spacing w:after="0"/>
              <w:jc w:val="left"/>
            </w:pPr>
            <w:r>
              <w:rPr>
                <w:rFonts w:ascii="Arial" w:hAnsi="Arial"/>
                <w:b/>
                <w:i w:val="0"/>
                <w:color w:val="FFFFFF"/>
                <w:sz w:val="18"/>
              </w:rPr>
              <w:t>Réponse attendue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C</w:t>
            </w:r>
          </w:p>
        </w:tc>
        <w:tc>
          <w:tcPr>
            <w:tcW w:type="dxa" w:w="7653"/>
            <w:tcMar>
              <w:top w:w="100" w:type="dxa"/>
              <w:start w:w="140" w:type="dxa"/>
              <w:bottom w:w="100" w:type="dxa"/>
              <w:end w:w="140" w:type="dxa"/>
            </w:tcMar>
            <w:vAlign w:val="center"/>
          </w:tcPr>
          <w:p>
            <w:pPr>
              <w:spacing w:after="0"/>
            </w:pPr>
            <w:r>
              <w:rPr>
                <w:rFonts w:ascii="Arial" w:hAnsi="Arial"/>
                <w:b w:val="0"/>
                <w:i w:val="0"/>
                <w:color w:val="242928"/>
                <w:sz w:val="18"/>
              </w:rPr>
              <w:t>Comparer les trois scénarios avec : seul, associé ou réseau ? qui décide, contrôle et remplace ? Conserver projet de règles, conseils, scénarios de désaccord.</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H</w:t>
            </w:r>
          </w:p>
        </w:tc>
        <w:tc>
          <w:tcPr>
            <w:tcW w:type="dxa" w:w="7653"/>
            <w:tcMar>
              <w:top w:w="100" w:type="dxa"/>
              <w:start w:w="140" w:type="dxa"/>
              <w:bottom w:w="100" w:type="dxa"/>
              <w:end w:w="140" w:type="dxa"/>
            </w:tcMar>
            <w:vAlign w:val="center"/>
          </w:tcPr>
          <w:p>
            <w:pPr>
              <w:spacing w:after="0"/>
            </w:pPr>
            <w:r>
              <w:rPr>
                <w:rFonts w:ascii="Arial" w:hAnsi="Arial"/>
                <w:b w:val="0"/>
                <w:i w:val="0"/>
                <w:color w:val="242928"/>
                <w:sz w:val="18"/>
              </w:rPr>
              <w:t>Comparer les trois scénarios avec : lancement, activité secondaire, croissance ou transmission ? Conserver plan à 12-24 mois et besoin de réversibilité.</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O</w:t>
            </w:r>
          </w:p>
        </w:tc>
        <w:tc>
          <w:tcPr>
            <w:tcW w:type="dxa" w:w="7653"/>
            <w:tcMar>
              <w:top w:w="100" w:type="dxa"/>
              <w:start w:w="140" w:type="dxa"/>
              <w:bottom w:w="100" w:type="dxa"/>
              <w:end w:w="140" w:type="dxa"/>
            </w:tcMar>
            <w:vAlign w:val="center"/>
          </w:tcPr>
          <w:p>
            <w:pPr>
              <w:spacing w:after="0"/>
            </w:pPr>
            <w:r>
              <w:rPr>
                <w:rFonts w:ascii="Arial" w:hAnsi="Arial"/>
                <w:b w:val="0"/>
                <w:i w:val="0"/>
                <w:color w:val="242928"/>
                <w:sz w:val="18"/>
              </w:rPr>
              <w:t>Comparer les trois scénarios avec : quelles activités seront réellement déclarées et exercées ? Conserver guichets et administrations compétents, textes à jour.</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I</w:t>
            </w:r>
          </w:p>
        </w:tc>
        <w:tc>
          <w:tcPr>
            <w:tcW w:type="dxa" w:w="7653"/>
            <w:tcMar>
              <w:top w:w="100" w:type="dxa"/>
              <w:start w:w="140" w:type="dxa"/>
              <w:bottom w:w="100" w:type="dxa"/>
              <w:end w:w="140" w:type="dxa"/>
            </w:tcMar>
            <w:vAlign w:val="center"/>
          </w:tcPr>
          <w:p>
            <w:pPr>
              <w:spacing w:after="0"/>
            </w:pPr>
            <w:r>
              <w:rPr>
                <w:rFonts w:ascii="Arial" w:hAnsi="Arial"/>
                <w:b w:val="0"/>
                <w:i w:val="0"/>
                <w:color w:val="242928"/>
                <w:sz w:val="18"/>
              </w:rPr>
              <w:t>Comparer les trois scénarios avec : quels effets selon revenus, dépenses, situation et couverture recherchée ? Conserver simulations datées de l'expert-comptable et organismes compétents.</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X</w:t>
            </w:r>
          </w:p>
        </w:tc>
        <w:tc>
          <w:tcPr>
            <w:tcW w:type="dxa" w:w="7653"/>
            <w:tcMar>
              <w:top w:w="100" w:type="dxa"/>
              <w:start w:w="140" w:type="dxa"/>
              <w:bottom w:w="100" w:type="dxa"/>
              <w:end w:w="140" w:type="dxa"/>
            </w:tcMar>
            <w:vAlign w:val="center"/>
          </w:tcPr>
          <w:p>
            <w:pPr>
              <w:spacing w:after="0"/>
            </w:pPr>
            <w:r>
              <w:rPr>
                <w:rFonts w:ascii="Arial" w:hAnsi="Arial"/>
                <w:b w:val="0"/>
                <w:i w:val="0"/>
                <w:color w:val="242928"/>
                <w:sz w:val="18"/>
              </w:rPr>
              <w:t>Comparer les trois scénarios avec : quels risques, engagements, investissements et besoins de trésorerie ? Conserver assureur, conseil juridique et plan de financement.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Décision correcte — </w:t>
            </w:r>
            <w:r>
              <w:rPr>
                <w:rFonts w:ascii="Arial" w:hAnsi="Arial"/>
                <w:b w:val="0"/>
                <w:i w:val="0"/>
                <w:color w:val="242928"/>
                <w:sz w:val="21"/>
              </w:rPr>
              <w:t>Une matrice recevable rend visibles les hypothèses, la date, les sources et les questions à transmettre. Elle peut conclure qu'aucun scénario n'est encore décidable.</w:t>
            </w:r>
          </w:p>
        </w:tc>
      </w:tr>
    </w:tbl>
    <w:p>
      <w:pPr>
        <w:spacing w:after="20"/>
      </w:pPr>
    </w:p>
    <w:p>
      <w:r>
        <w:br w:type="page"/>
      </w:r>
    </w:p>
    <w:p>
      <w:pPr>
        <w:pStyle w:val="Heading1"/>
      </w:pPr>
      <w:r>
        <w:t>Corrigé — Proposition, contrôles 1 à 6</w:t>
      </w:r>
    </w:p>
    <w:tbl>
      <w:tblPr>
        <w:tblStyle w:val="TableGrid"/>
        <w:jc w:val="center"/>
        <w:tblLook w:firstColumn="1" w:firstRow="1" w:lastColumn="0" w:lastRow="0" w:noHBand="0" w:noVBand="1" w:val="04A0"/>
        <w:tblW w:w="9919" w:type="dxa"/>
        <w:tblInd w:w="0" w:type="dxa"/>
        <w:tblLayout w:type="fixed"/>
      </w:tblPr>
      <w:tblGrid>
        <w:gridCol w:w="2267"/>
        <w:gridCol w:w="1700"/>
        <w:gridCol w:w="5952"/>
      </w:tblGrid>
      <w:tr>
        <w:trPr>
          <w:tblHeader w:val="true"/>
        </w:trPr>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Élément</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État</w:t>
            </w:r>
          </w:p>
        </w:tc>
        <w:tc>
          <w:tcPr>
            <w:tcW w:type="dxa" w:w="5952"/>
            <w:shd w:fill="173E4E"/>
            <w:tcMar>
              <w:top w:w="100" w:type="dxa"/>
              <w:start w:w="140" w:type="dxa"/>
              <w:bottom w:w="100" w:type="dxa"/>
              <w:end w:w="140" w:type="dxa"/>
            </w:tcMar>
            <w:vAlign w:val="center"/>
          </w:tcPr>
          <w:p>
            <w:pPr>
              <w:spacing w:after="0"/>
              <w:jc w:val="left"/>
            </w:pPr>
            <w:r>
              <w:rPr>
                <w:rFonts w:ascii="Arial" w:hAnsi="Arial"/>
                <w:b/>
                <w:i w:val="0"/>
                <w:color w:val="FFFFFF"/>
                <w:sz w:val="18"/>
              </w:rPr>
              <w:t>Correction</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Identité des parties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Présente</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Contrôler pouvoir et qualité du signataire.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Besoin et usage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Absent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Faire préciser la décision attendue et les destinataires.</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Objet et zones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Partiel</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Borner manifestations, documents, zones et période.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Livrable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Vague</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Décrire format, contenu, version et limites.</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Méthode et accès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Absent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Nommer opérations autorisées, accès et sécurité.</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Exclusions et relais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Absent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Rendre hors-champ et conditions d'arrêt visibles.</w:t>
            </w:r>
          </w:p>
        </w:tc>
      </w:tr>
    </w:tbl>
    <w:p>
      <w:pPr>
        <w:spacing w:after="20"/>
      </w:pPr>
    </w:p>
    <w:p>
      <w:r>
        <w:br w:type="page"/>
      </w:r>
    </w:p>
    <w:p>
      <w:pPr>
        <w:pStyle w:val="Heading1"/>
      </w:pPr>
      <w:r>
        <w:t>Corrigé — Proposition, contrôles 7 à 12</w:t>
      </w:r>
    </w:p>
    <w:tbl>
      <w:tblPr>
        <w:tblStyle w:val="TableGrid"/>
        <w:jc w:val="center"/>
        <w:tblLook w:firstColumn="1" w:firstRow="1" w:lastColumn="0" w:lastRow="0" w:noHBand="0" w:noVBand="1" w:val="04A0"/>
        <w:tblW w:w="9919" w:type="dxa"/>
        <w:tblInd w:w="0" w:type="dxa"/>
        <w:tblLayout w:type="fixed"/>
      </w:tblPr>
      <w:tblGrid>
        <w:gridCol w:w="2267"/>
        <w:gridCol w:w="1700"/>
        <w:gridCol w:w="5952"/>
      </w:tblGrid>
      <w:tr>
        <w:trPr>
          <w:tblHeader w:val="true"/>
        </w:trPr>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Élément</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État</w:t>
            </w:r>
          </w:p>
        </w:tc>
        <w:tc>
          <w:tcPr>
            <w:tcW w:type="dxa" w:w="5952"/>
            <w:shd w:fill="173E4E"/>
            <w:tcMar>
              <w:top w:w="100" w:type="dxa"/>
              <w:start w:w="140" w:type="dxa"/>
              <w:bottom w:w="100" w:type="dxa"/>
              <w:end w:w="140" w:type="dxa"/>
            </w:tcMar>
            <w:vAlign w:val="center"/>
          </w:tcPr>
          <w:p>
            <w:pPr>
              <w:spacing w:after="0"/>
              <w:jc w:val="left"/>
            </w:pPr>
            <w:r>
              <w:rPr>
                <w:rFonts w:ascii="Arial" w:hAnsi="Arial"/>
                <w:b/>
                <w:i w:val="0"/>
                <w:color w:val="FFFFFF"/>
                <w:sz w:val="18"/>
              </w:rPr>
              <w:t>Correction</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Prix et paiement</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Présent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Vérifier assiette, échéance, frais et conséquences du décalage.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Délai</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Présent sans condition</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Relier le délai à l'accès et à la réception des pièces.</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Données et destinataires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Absent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Informer sur finalité, données utiles, accès et remise.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Consommateur à distance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Non traité</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Vérifier informations, rétractation et commencement anticipé selon le contexte.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Médiation et réclamation</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Absent</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Contrôler les obligations applicables et le circuit de réponse.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Assurance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Mention générique</w:t>
            </w:r>
          </w:p>
        </w:tc>
        <w:tc>
          <w:tcPr>
            <w:tcW w:type="dxa" w:w="5952"/>
            <w:tcMar>
              <w:top w:w="100" w:type="dxa"/>
              <w:start w:w="140" w:type="dxa"/>
              <w:bottom w:w="100" w:type="dxa"/>
              <w:end w:w="140" w:type="dxa"/>
            </w:tcMar>
            <w:vAlign w:val="center"/>
          </w:tcPr>
          <w:p>
            <w:pPr>
              <w:spacing w:after="0"/>
            </w:pPr>
            <w:r>
              <w:rPr>
                <w:rFonts w:ascii="Arial" w:hAnsi="Arial"/>
                <w:b w:val="0"/>
                <w:i w:val="0"/>
                <w:color w:val="242928"/>
                <w:sz w:val="18"/>
              </w:rPr>
              <w:t>Ne jamais déduire la couverture ; rapprocher l'activité réelle de l'attestation et de la police.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Contrats à distance — </w:t>
            </w:r>
            <w:r>
              <w:rPr>
                <w:rFonts w:ascii="Arial" w:hAnsi="Arial"/>
                <w:b w:val="0"/>
                <w:i w:val="0"/>
                <w:color w:val="242928"/>
                <w:sz w:val="21"/>
              </w:rPr>
              <w:t>CONSO-01 et CONSO-02 ne reçoivent pas le même calendrier. Pour CONSO-02, une demande explicite et sa preuve doivent être contrôlées avant le commencement ; aucune urgence déclarée ne remplace ce contrôle.</w:t>
            </w:r>
          </w:p>
        </w:tc>
      </w:tr>
    </w:tbl>
    <w:p>
      <w:pPr>
        <w:spacing w:after="20"/>
      </w:pPr>
    </w:p>
    <w:p>
      <w:r>
        <w:br w:type="page"/>
      </w:r>
    </w:p>
    <w:p>
      <w:pPr>
        <w:pStyle w:val="Heading1"/>
      </w:pPr>
      <w:r>
        <w:t>Corrigé — Bouclier de mission</w:t>
      </w:r>
    </w:p>
    <w:tbl>
      <w:tblPr>
        <w:tblStyle w:val="TableGrid"/>
        <w:jc w:val="center"/>
        <w:tblLook w:firstColumn="1" w:firstRow="1" w:lastColumn="0" w:lastRow="0" w:noHBand="0" w:noVBand="1" w:val="04A0"/>
        <w:tblW w:w="9921" w:type="dxa"/>
        <w:tblInd w:w="0" w:type="dxa"/>
        <w:tblLayout w:type="fixed"/>
      </w:tblPr>
      <w:tblGrid>
        <w:gridCol w:w="1984"/>
        <w:gridCol w:w="7937"/>
      </w:tblGrid>
      <w:tr>
        <w:trPr>
          <w:tblHeader w:val="true"/>
        </w:trPr>
        <w:tc>
          <w:tcPr>
            <w:tcW w:type="dxa" w:w="1984"/>
            <w:shd w:fill="173E4E"/>
            <w:tcMar>
              <w:top w:w="100" w:type="dxa"/>
              <w:start w:w="140" w:type="dxa"/>
              <w:bottom w:w="100" w:type="dxa"/>
              <w:end w:w="140" w:type="dxa"/>
            </w:tcMar>
            <w:vAlign w:val="center"/>
          </w:tcPr>
          <w:p>
            <w:pPr>
              <w:spacing w:after="0"/>
              <w:jc w:val="left"/>
            </w:pPr>
            <w:r>
              <w:rPr>
                <w:rFonts w:ascii="Arial" w:hAnsi="Arial"/>
                <w:b/>
                <w:i w:val="0"/>
                <w:color w:val="FFFFFF"/>
                <w:sz w:val="18"/>
              </w:rPr>
              <w:t>Fonction</w:t>
            </w:r>
          </w:p>
        </w:tc>
        <w:tc>
          <w:tcPr>
            <w:tcW w:type="dxa" w:w="7937"/>
            <w:shd w:fill="173E4E"/>
            <w:tcMar>
              <w:top w:w="100" w:type="dxa"/>
              <w:start w:w="140" w:type="dxa"/>
              <w:bottom w:w="100" w:type="dxa"/>
              <w:end w:w="140" w:type="dxa"/>
            </w:tcMar>
            <w:vAlign w:val="center"/>
          </w:tcPr>
          <w:p>
            <w:pPr>
              <w:spacing w:after="0"/>
              <w:jc w:val="left"/>
            </w:pPr>
            <w:r>
              <w:rPr>
                <w:rFonts w:ascii="Arial" w:hAnsi="Arial"/>
                <w:b/>
                <w:i w:val="0"/>
                <w:color w:val="FFFFFF"/>
                <w:sz w:val="18"/>
              </w:rPr>
              <w:t>Réponse indicative</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Promettre</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Proposition bornée Preuve : Version acceptée et périmètre Responsable : Expert.</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Informer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Informations adaptées au client et au canal Preuve : Support remis et date Responsable : Expert / conseil si nécessaire.</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Consentir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Accord et demandes expresses applicables Preuve : Signature ou trace équivalente Responsable : Client et expert.</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Couvrir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Activités réelles rapprochées de la garantie Preuve : Écrit de l'assureur, attestation et police contrôlée Responsable : Expert / assureur.</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Tracer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Pièces, versions, destinataires et décisions Preuve : Index et journal Responsable : Expert.</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Facturer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Prix, frais, échéance et stades distincts Preuve : Facture et suivi d'encaissement Responsable : Expert / conseil comptable.</w:t>
            </w:r>
          </w:p>
        </w:tc>
      </w:tr>
      <w:tr>
        <w:tc>
          <w:tcPr>
            <w:tcW w:type="dxa" w:w="1984"/>
            <w:tcMar>
              <w:top w:w="100" w:type="dxa"/>
              <w:start w:w="140" w:type="dxa"/>
              <w:bottom w:w="100" w:type="dxa"/>
              <w:end w:w="140" w:type="dxa"/>
            </w:tcMar>
            <w:vAlign w:val="center"/>
          </w:tcPr>
          <w:p>
            <w:pPr>
              <w:spacing w:after="0"/>
            </w:pPr>
            <w:r>
              <w:rPr>
                <w:rFonts w:ascii="Arial" w:hAnsi="Arial"/>
                <w:b w:val="0"/>
                <w:i w:val="0"/>
                <w:color w:val="242928"/>
                <w:sz w:val="18"/>
              </w:rPr>
              <w:t>Réclamer</w:t>
            </w:r>
          </w:p>
        </w:tc>
        <w:tc>
          <w:tcPr>
            <w:tcW w:type="dxa" w:w="7937"/>
            <w:tcMar>
              <w:top w:w="100" w:type="dxa"/>
              <w:start w:w="140" w:type="dxa"/>
              <w:bottom w:w="100" w:type="dxa"/>
              <w:end w:w="140" w:type="dxa"/>
            </w:tcMar>
            <w:vAlign w:val="center"/>
          </w:tcPr>
          <w:p>
            <w:pPr>
              <w:spacing w:after="0"/>
            </w:pPr>
            <w:r>
              <w:rPr>
                <w:rFonts w:ascii="Arial" w:hAnsi="Arial"/>
                <w:b w:val="0"/>
                <w:i w:val="0"/>
                <w:color w:val="242928"/>
                <w:sz w:val="18"/>
              </w:rPr>
              <w:t>Contrôle : Canal, délai interne, médiation si applicable Preuve : Journal et réponse versionnée Responsable : Expert / conseil.</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Assurance — </w:t>
            </w:r>
            <w:r>
              <w:rPr>
                <w:rFonts w:ascii="Arial" w:hAnsi="Arial"/>
                <w:b w:val="0"/>
                <w:i w:val="0"/>
                <w:color w:val="242928"/>
                <w:sz w:val="21"/>
              </w:rPr>
              <w:t>Le questionnaire décrit l'activité réelle. La couverture résulte des documents et réponses de l'assureur contrôlés dans leur contexte ; elle n'est jamais déduite d'un titre, d'une offre ou d'une simple attestation.</w:t>
            </w:r>
          </w:p>
        </w:tc>
      </w:tr>
    </w:tbl>
    <w:p>
      <w:pPr>
        <w:spacing w:after="20"/>
      </w:pPr>
    </w:p>
    <w:p>
      <w:r>
        <w:br w:type="page"/>
      </w:r>
    </w:p>
    <w:p>
      <w:pPr>
        <w:pStyle w:val="Heading1"/>
      </w:pPr>
      <w:r>
        <w:t>Corrigé — Capacité et prix</w:t>
      </w:r>
    </w:p>
    <w:tbl>
      <w:tblPr>
        <w:tblStyle w:val="TableGrid"/>
        <w:jc w:val="center"/>
        <w:tblLook w:firstColumn="1" w:firstRow="1" w:lastColumn="0" w:lastRow="0" w:noHBand="0" w:noVBand="1" w:val="04A0"/>
        <w:tblW w:w="9919" w:type="dxa"/>
        <w:tblInd w:w="0" w:type="dxa"/>
        <w:tblLayout w:type="fixed"/>
      </w:tblPr>
      <w:tblGrid>
        <w:gridCol w:w="2834"/>
        <w:gridCol w:w="2267"/>
        <w:gridCol w:w="4818"/>
      </w:tblGrid>
      <w:tr>
        <w:trPr>
          <w:tblHeader w:val="true"/>
        </w:trPr>
        <w:tc>
          <w:tcPr>
            <w:tcW w:type="dxa" w:w="2834"/>
            <w:shd w:fill="173E4E"/>
            <w:tcMar>
              <w:top w:w="100" w:type="dxa"/>
              <w:start w:w="140" w:type="dxa"/>
              <w:bottom w:w="100" w:type="dxa"/>
              <w:end w:w="140" w:type="dxa"/>
            </w:tcMar>
            <w:vAlign w:val="center"/>
          </w:tcPr>
          <w:p>
            <w:pPr>
              <w:spacing w:after="0"/>
              <w:jc w:val="left"/>
            </w:pPr>
            <w:r>
              <w:rPr>
                <w:rFonts w:ascii="Arial" w:hAnsi="Arial"/>
                <w:b/>
                <w:i w:val="0"/>
                <w:color w:val="FFFFFF"/>
                <w:sz w:val="18"/>
              </w:rPr>
              <w:t>Calcul</w:t>
            </w:r>
          </w:p>
        </w:tc>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Résultat</w:t>
            </w:r>
          </w:p>
        </w:tc>
        <w:tc>
          <w:tcPr>
            <w:tcW w:type="dxa" w:w="4818"/>
            <w:shd w:fill="173E4E"/>
            <w:tcMar>
              <w:top w:w="100" w:type="dxa"/>
              <w:start w:w="140" w:type="dxa"/>
              <w:bottom w:w="100" w:type="dxa"/>
              <w:end w:w="140" w:type="dxa"/>
            </w:tcMar>
            <w:vAlign w:val="center"/>
          </w:tcPr>
          <w:p>
            <w:pPr>
              <w:spacing w:after="0"/>
              <w:jc w:val="left"/>
            </w:pPr>
            <w:r>
              <w:rPr>
                <w:rFonts w:ascii="Arial" w:hAnsi="Arial"/>
                <w:b/>
                <w:i w:val="0"/>
                <w:color w:val="FFFFFF"/>
                <w:sz w:val="18"/>
              </w:rPr>
              <w:t>Lecture</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140 − 21 − 14 − 14 − 11</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80 h</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Capacité facturable prudente, marge d'aléa incluse.</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8 000 ÷ 80</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100 €/h</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Repère interne canonique avant taxes et coûts directs, pas tarif public.</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8 000 + 150 × 6</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8 900 €</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CA mensuel requis pour six missions synthétiques.</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8 900 ÷ 6</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1 483,33 €, arrondi à 1 483 €</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Prix moyen requis dans ce scénario, pas tarif de marché.</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8 × 12</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96 h</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Dépasse la capacité de 16 h : le volume n'est pas soutenable à cette durée.</w:t>
            </w:r>
          </w:p>
        </w:tc>
      </w:tr>
      <w:tr>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10 × 12</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120 h</w:t>
            </w:r>
          </w:p>
        </w:tc>
        <w:tc>
          <w:tcPr>
            <w:tcW w:type="dxa" w:w="4818"/>
            <w:tcMar>
              <w:top w:w="100" w:type="dxa"/>
              <w:start w:w="140" w:type="dxa"/>
              <w:bottom w:w="100" w:type="dxa"/>
              <w:end w:w="140" w:type="dxa"/>
            </w:tcMar>
            <w:vAlign w:val="center"/>
          </w:tcPr>
          <w:p>
            <w:pPr>
              <w:spacing w:after="0"/>
            </w:pPr>
            <w:r>
              <w:rPr>
                <w:rFonts w:ascii="Arial" w:hAnsi="Arial"/>
                <w:b w:val="0"/>
                <w:i w:val="0"/>
                <w:color w:val="242928"/>
                <w:sz w:val="18"/>
              </w:rPr>
              <w:t>Dépasse de 40 h ; réduire volume, durée réelle ou reconfigurer les moyens sans masquer la qualité.</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Test de sensibilité — </w:t>
            </w:r>
            <w:r>
              <w:rPr>
                <w:rFonts w:ascii="Arial" w:hAnsi="Arial"/>
                <w:b w:val="0"/>
                <w:i w:val="0"/>
                <w:color w:val="242928"/>
                <w:sz w:val="21"/>
              </w:rPr>
              <w:t>À volume constant, deux heures supplémentaires par mission consomment 12 h pour six dossiers, 16 h pour huit et 20 h pour dix. Recalculer avant de promettre le délai.</w:t>
            </w:r>
          </w:p>
        </w:tc>
      </w:tr>
    </w:tbl>
    <w:p>
      <w:pPr>
        <w:spacing w:after="20"/>
      </w:pPr>
    </w:p>
    <w:p>
      <w:r>
        <w:br w:type="page"/>
      </w:r>
    </w:p>
    <w:p>
      <w:pPr>
        <w:pStyle w:val="Heading1"/>
      </w:pPr>
      <w:r>
        <w:t>Corrigé — Facturé, encaissé et mois dégradé</w:t>
      </w:r>
    </w:p>
    <w:tbl>
      <w:tblPr>
        <w:tblStyle w:val="TableGrid"/>
        <w:jc w:val="center"/>
        <w:tblLook w:firstColumn="1" w:firstRow="1" w:lastColumn="0" w:lastRow="0" w:noHBand="0" w:noVBand="1" w:val="04A0"/>
        <w:tblW w:w="9920" w:type="dxa"/>
        <w:tblInd w:w="0" w:type="dxa"/>
        <w:tblLayout w:type="fixed"/>
      </w:tblPr>
      <w:tblGrid>
        <w:gridCol w:w="1700"/>
        <w:gridCol w:w="5102"/>
        <w:gridCol w:w="3118"/>
      </w:tblGrid>
      <w:tr>
        <w:trPr>
          <w:tblHeader w:val="true"/>
        </w:trPr>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Scénario</w:t>
            </w:r>
          </w:p>
        </w:tc>
        <w:tc>
          <w:tcPr>
            <w:tcW w:type="dxa" w:w="5102"/>
            <w:shd w:fill="173E4E"/>
            <w:tcMar>
              <w:top w:w="100" w:type="dxa"/>
              <w:start w:w="140" w:type="dxa"/>
              <w:bottom w:w="100" w:type="dxa"/>
              <w:end w:w="140" w:type="dxa"/>
            </w:tcMar>
            <w:vAlign w:val="center"/>
          </w:tcPr>
          <w:p>
            <w:pPr>
              <w:spacing w:after="0"/>
              <w:jc w:val="left"/>
            </w:pPr>
            <w:r>
              <w:rPr>
                <w:rFonts w:ascii="Arial" w:hAnsi="Arial"/>
                <w:b/>
                <w:i w:val="0"/>
                <w:color w:val="FFFFFF"/>
                <w:sz w:val="18"/>
              </w:rPr>
              <w:t>Lecture correcte</w:t>
            </w:r>
          </w:p>
        </w:tc>
        <w:tc>
          <w:tcPr>
            <w:tcW w:type="dxa" w:w="3118"/>
            <w:shd w:fill="173E4E"/>
            <w:tcMar>
              <w:top w:w="100" w:type="dxa"/>
              <w:start w:w="140" w:type="dxa"/>
              <w:bottom w:w="100" w:type="dxa"/>
              <w:end w:w="140" w:type="dxa"/>
            </w:tcMar>
            <w:vAlign w:val="center"/>
          </w:tcPr>
          <w:p>
            <w:pPr>
              <w:spacing w:after="0"/>
              <w:jc w:val="left"/>
            </w:pPr>
            <w:r>
              <w:rPr>
                <w:rFonts w:ascii="Arial" w:hAnsi="Arial"/>
                <w:b/>
                <w:i w:val="0"/>
                <w:color w:val="FFFFFF"/>
                <w:sz w:val="18"/>
              </w:rPr>
              <w:t>Décision possible</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ENC-30</w:t>
            </w:r>
          </w:p>
        </w:tc>
        <w:tc>
          <w:tcPr>
            <w:tcW w:type="dxa" w:w="5102"/>
            <w:tcMar>
              <w:top w:w="100" w:type="dxa"/>
              <w:start w:w="140" w:type="dxa"/>
              <w:bottom w:w="100" w:type="dxa"/>
              <w:end w:w="140" w:type="dxa"/>
            </w:tcMar>
            <w:vAlign w:val="center"/>
          </w:tcPr>
          <w:p>
            <w:pPr>
              <w:spacing w:after="0"/>
            </w:pPr>
            <w:r>
              <w:rPr>
                <w:rFonts w:ascii="Arial" w:hAnsi="Arial"/>
                <w:b w:val="0"/>
                <w:i w:val="0"/>
                <w:color w:val="242928"/>
                <w:sz w:val="18"/>
              </w:rPr>
              <w:t>9 200 € encaissés couvrent les 9 200 € de décaissements simulés ; marge de sécurité nulle dans cette vue partielle.</w:t>
            </w:r>
          </w:p>
        </w:tc>
        <w:tc>
          <w:tcPr>
            <w:tcW w:type="dxa" w:w="3118"/>
            <w:tcMar>
              <w:top w:w="100" w:type="dxa"/>
              <w:start w:w="140" w:type="dxa"/>
              <w:bottom w:w="100" w:type="dxa"/>
              <w:end w:w="140" w:type="dxa"/>
            </w:tcMar>
            <w:vAlign w:val="center"/>
          </w:tcPr>
          <w:p>
            <w:pPr>
              <w:spacing w:after="0"/>
            </w:pPr>
            <w:r>
              <w:rPr>
                <w:rFonts w:ascii="Arial" w:hAnsi="Arial"/>
                <w:b w:val="0"/>
                <w:i w:val="0"/>
                <w:color w:val="242928"/>
                <w:sz w:val="18"/>
              </w:rPr>
              <w:t>Conserver une réserve et tester les autres dates de sortie.</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ENC-60</w:t>
            </w:r>
          </w:p>
        </w:tc>
        <w:tc>
          <w:tcPr>
            <w:tcW w:type="dxa" w:w="5102"/>
            <w:tcMar>
              <w:top w:w="100" w:type="dxa"/>
              <w:start w:w="140" w:type="dxa"/>
              <w:bottom w:w="100" w:type="dxa"/>
              <w:end w:w="140" w:type="dxa"/>
            </w:tcMar>
            <w:vAlign w:val="center"/>
          </w:tcPr>
          <w:p>
            <w:pPr>
              <w:spacing w:after="0"/>
            </w:pPr>
            <w:r>
              <w:rPr>
                <w:rFonts w:ascii="Arial" w:hAnsi="Arial"/>
                <w:b w:val="0"/>
                <w:i w:val="0"/>
                <w:color w:val="242928"/>
                <w:sz w:val="18"/>
              </w:rPr>
              <w:t>La facturation existe mais aucun encaissement n'entre dans le mois ; besoin transitoire de 9 200 €.</w:t>
            </w:r>
          </w:p>
        </w:tc>
        <w:tc>
          <w:tcPr>
            <w:tcW w:type="dxa" w:w="3118"/>
            <w:tcMar>
              <w:top w:w="100" w:type="dxa"/>
              <w:start w:w="140" w:type="dxa"/>
              <w:bottom w:w="100" w:type="dxa"/>
              <w:end w:w="140" w:type="dxa"/>
            </w:tcMar>
            <w:vAlign w:val="center"/>
          </w:tcPr>
          <w:p>
            <w:pPr>
              <w:spacing w:after="0"/>
            </w:pPr>
            <w:r>
              <w:rPr>
                <w:rFonts w:ascii="Arial" w:hAnsi="Arial"/>
                <w:b w:val="0"/>
                <w:i w:val="0"/>
                <w:color w:val="242928"/>
                <w:sz w:val="18"/>
              </w:rPr>
              <w:t>Financer ou redéfinir échéances et volume avant engagement.</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DEG-01</w:t>
            </w:r>
          </w:p>
        </w:tc>
        <w:tc>
          <w:tcPr>
            <w:tcW w:type="dxa" w:w="5102"/>
            <w:tcMar>
              <w:top w:w="100" w:type="dxa"/>
              <w:start w:w="140" w:type="dxa"/>
              <w:bottom w:w="100" w:type="dxa"/>
              <w:end w:w="140" w:type="dxa"/>
            </w:tcMar>
            <w:vAlign w:val="center"/>
          </w:tcPr>
          <w:p>
            <w:pPr>
              <w:spacing w:after="0"/>
            </w:pPr>
            <w:r>
              <w:rPr>
                <w:rFonts w:ascii="Arial" w:hAnsi="Arial"/>
                <w:b w:val="0"/>
                <w:i w:val="0"/>
                <w:color w:val="242928"/>
                <w:sz w:val="18"/>
              </w:rPr>
              <w:t>2 300 € encaissés face à 8 750 € de sorties ; besoin de 6 450 €.</w:t>
            </w:r>
          </w:p>
        </w:tc>
        <w:tc>
          <w:tcPr>
            <w:tcW w:type="dxa" w:w="3118"/>
            <w:tcMar>
              <w:top w:w="100" w:type="dxa"/>
              <w:start w:w="140" w:type="dxa"/>
              <w:bottom w:w="100" w:type="dxa"/>
              <w:end w:w="140" w:type="dxa"/>
            </w:tcMar>
            <w:vAlign w:val="center"/>
          </w:tcPr>
          <w:p>
            <w:pPr>
              <w:spacing w:after="0"/>
            </w:pPr>
            <w:r>
              <w:rPr>
                <w:rFonts w:ascii="Arial" w:hAnsi="Arial"/>
                <w:b w:val="0"/>
                <w:i w:val="0"/>
                <w:color w:val="242928"/>
                <w:sz w:val="18"/>
              </w:rPr>
              <w:t>Ne pas compenser mécaniquement par des missions dépassant la capacité.</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Q0005 — </w:t>
            </w:r>
            <w:r>
              <w:rPr>
                <w:rFonts w:ascii="Arial" w:hAnsi="Arial"/>
                <w:b w:val="0"/>
                <w:i w:val="0"/>
                <w:color w:val="242928"/>
                <w:sz w:val="21"/>
              </w:rPr>
              <w:t>Une réponse recevable montre la formule, les unités et l'effet d'une hypothèse modifiée. Elle ne confond ni chiffre d'affaires, trésorerie, résultat, ni revenu disponible.</w:t>
            </w:r>
          </w:p>
        </w:tc>
      </w:tr>
    </w:tbl>
    <w:p>
      <w:pPr>
        <w:spacing w:after="20"/>
      </w:pPr>
    </w:p>
    <w:p>
      <w:r>
        <w:br w:type="page"/>
      </w:r>
    </w:p>
    <w:p>
      <w:pPr>
        <w:pStyle w:val="Heading1"/>
      </w:pPr>
      <w:r>
        <w:t>Corrigé — Contacts CT-01 à CT-06</w:t>
      </w:r>
    </w:p>
    <w:tbl>
      <w:tblPr>
        <w:tblStyle w:val="TableGrid"/>
        <w:jc w:val="center"/>
        <w:tblLook w:firstColumn="1" w:firstRow="1" w:lastColumn="0" w:lastRow="0" w:noHBand="0" w:noVBand="1" w:val="04A0"/>
        <w:tblW w:w="9920" w:type="dxa"/>
        <w:tblInd w:w="0" w:type="dxa"/>
        <w:tblLayout w:type="fixed"/>
      </w:tblPr>
      <w:tblGrid>
        <w:gridCol w:w="850"/>
        <w:gridCol w:w="2381"/>
        <w:gridCol w:w="6689"/>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381"/>
            <w:shd w:fill="173E4E"/>
            <w:tcMar>
              <w:top w:w="100" w:type="dxa"/>
              <w:start w:w="140" w:type="dxa"/>
              <w:bottom w:w="100" w:type="dxa"/>
              <w:end w:w="140" w:type="dxa"/>
            </w:tcMar>
            <w:vAlign w:val="center"/>
          </w:tcPr>
          <w:p>
            <w:pPr>
              <w:spacing w:after="0"/>
              <w:jc w:val="left"/>
            </w:pPr>
            <w:r>
              <w:rPr>
                <w:rFonts w:ascii="Arial" w:hAnsi="Arial"/>
                <w:b/>
                <w:i w:val="0"/>
                <w:color w:val="FFFFFF"/>
                <w:sz w:val="18"/>
              </w:rPr>
              <w:t>Décision</w:t>
            </w:r>
          </w:p>
        </w:tc>
        <w:tc>
          <w:tcPr>
            <w:tcW w:type="dxa" w:w="6689"/>
            <w:shd w:fill="173E4E"/>
            <w:tcMar>
              <w:top w:w="100" w:type="dxa"/>
              <w:start w:w="140" w:type="dxa"/>
              <w:bottom w:w="100" w:type="dxa"/>
              <w:end w:w="140" w:type="dxa"/>
            </w:tcMar>
            <w:vAlign w:val="center"/>
          </w:tcPr>
          <w:p>
            <w:pPr>
              <w:spacing w:after="0"/>
              <w:jc w:val="left"/>
            </w:pPr>
            <w:r>
              <w:rPr>
                <w:rFonts w:ascii="Arial" w:hAnsi="Arial"/>
                <w:b/>
                <w:i w:val="0"/>
                <w:color w:val="FFFFFF"/>
                <w:sz w:val="18"/>
              </w:rPr>
              <w:t>Motif</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CT-01</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RÉPONDRE À LA DEMANDE, SANS ÉTENDRE À LA PROSPECTION</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Particulier ; provenance : Demande d'une ressource. Canal : Réponse transactionnelle demandée. Information : Identité, ressource et suite. Choix : Aucun accord distinct pour une offre.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CT-02</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RÉPONDRE À LA DEMANDE, SANS ÉTENDRE À LA PROSPECTION</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Particulier ; provenance : Demande d'une ressource. Canal : Réponse transactionnelle demandée. Information : Identité, ressource et suite. Choix : Aucun accord distinct pour une offre.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CT-03</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RÉPONDRE À LA DEMANDE, SANS ÉTENDRE À LA PROSPECTION</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Particulier ; provenance : Demande d'une ressource. Canal : Réponse transactionnelle demandée. Information : Identité, ressource et suite. Choix : Aucun accord distinct pour une offre.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CT-04</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ADMETTRE SOUS CONDITIONS PROFESSIONNELLES</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Professionnel ; provenance : Rencontre métier documentée. Canal : Courriel lié à sa fonction. Information : Identité, objet professionnel, source. Choix : Opposition simple et gratuite.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CT-05</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ADMETTRE SOUS CONDITIONS PROFESSIONNELLES</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Professionnel ; provenance : Recommandation avec accord de mise en relation. Canal : Premier message contextualisé. Information : Identité et contexte autorisé. Choix : Opposition simple et gratuite.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CT-06</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ADMETTRE SOUS CONDITIONS PROFESSIONNELLES</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Professionnel ; provenance : Annuaire public qualifié. Canal : Courriel en lien avec l'activité. Information : Identité, fonction, provenance et finalité. Choix : Opposition simple et gratuite.</w:t>
            </w:r>
          </w:p>
        </w:tc>
      </w:tr>
    </w:tbl>
    <w:p>
      <w:pPr>
        <w:spacing w:after="20"/>
      </w:pPr>
    </w:p>
    <w:p>
      <w:r>
        <w:br w:type="page"/>
      </w:r>
    </w:p>
    <w:p>
      <w:pPr>
        <w:pStyle w:val="Heading1"/>
      </w:pPr>
      <w:r>
        <w:t>Corrigé — Contacts CT-07 à CT-12</w:t>
      </w:r>
    </w:p>
    <w:tbl>
      <w:tblPr>
        <w:tblStyle w:val="TableGrid"/>
        <w:jc w:val="center"/>
        <w:tblLook w:firstColumn="1" w:firstRow="1" w:lastColumn="0" w:lastRow="0" w:noHBand="0" w:noVBand="1" w:val="04A0"/>
        <w:tblW w:w="9920" w:type="dxa"/>
        <w:tblInd w:w="0" w:type="dxa"/>
        <w:tblLayout w:type="fixed"/>
      </w:tblPr>
      <w:tblGrid>
        <w:gridCol w:w="850"/>
        <w:gridCol w:w="2381"/>
        <w:gridCol w:w="6689"/>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381"/>
            <w:shd w:fill="173E4E"/>
            <w:tcMar>
              <w:top w:w="100" w:type="dxa"/>
              <w:start w:w="140" w:type="dxa"/>
              <w:bottom w:w="100" w:type="dxa"/>
              <w:end w:w="140" w:type="dxa"/>
            </w:tcMar>
            <w:vAlign w:val="center"/>
          </w:tcPr>
          <w:p>
            <w:pPr>
              <w:spacing w:after="0"/>
              <w:jc w:val="left"/>
            </w:pPr>
            <w:r>
              <w:rPr>
                <w:rFonts w:ascii="Arial" w:hAnsi="Arial"/>
                <w:b/>
                <w:i w:val="0"/>
                <w:color w:val="FFFFFF"/>
                <w:sz w:val="18"/>
              </w:rPr>
              <w:t>Décision</w:t>
            </w:r>
          </w:p>
        </w:tc>
        <w:tc>
          <w:tcPr>
            <w:tcW w:type="dxa" w:w="6689"/>
            <w:shd w:fill="173E4E"/>
            <w:tcMar>
              <w:top w:w="100" w:type="dxa"/>
              <w:start w:w="140" w:type="dxa"/>
              <w:bottom w:w="100" w:type="dxa"/>
              <w:end w:w="140" w:type="dxa"/>
            </w:tcMar>
            <w:vAlign w:val="center"/>
          </w:tcPr>
          <w:p>
            <w:pPr>
              <w:spacing w:after="0"/>
              <w:jc w:val="left"/>
            </w:pPr>
            <w:r>
              <w:rPr>
                <w:rFonts w:ascii="Arial" w:hAnsi="Arial"/>
                <w:b/>
                <w:i w:val="0"/>
                <w:color w:val="FFFFFF"/>
                <w:sz w:val="18"/>
              </w:rPr>
              <w:t>Motif</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CT-07</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CLARIFIER LA FONCTION ET LA PERTINENCE</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Organisation ; provenance : Adresse générique publiée. Canal : Courriel à qualifier. Information : Identité de l'annonceur, fonction visée et source. Choix : Moyen simple de cessation.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CT-08</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CLARIFIER LA FONCTION ET LA PERTINENCE</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Organisation ; provenance : Adresse générique transmise en événement. Canal : Courriel à qualifier. Information : Contexte, finalité et identité. Choix : Moyen simple de cessation.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CT-09</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ÉCARTER : PROVENANCE ET CONSENTEMENT ABSENTS</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Particulier ; provenance : Ancien export sans provenance. Canal : Aucun envoi. Information : Information de collecte introuvable. Choix : Consentement non démontré.</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CT-10</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ÉCARTER : PROVENANCE ET CONSENTEMENT ABSENTS</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Particulier ; provenance : Ancien export sans provenance. Canal : Aucun envoi. Information : Information de collecte introuvable. Choix : Consentement non démontré.</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CT-11</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VÉRIFIER TOUTES LES CONDITIONS DE L'EXCEPTION CLIENT</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Ancien client particulier ; provenance : Service analogue documenté. Canal : Courriel seulement si toutes conditions de l'exception sont remplies. Information : Identité, source, service et opposition. Choix : Opposition à la collecte et dans le message.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CT-12</w:t>
            </w:r>
          </w:p>
        </w:tc>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NE PAS PROSPECTER SANS CONSENTEMENT DISTINCT</w:t>
            </w:r>
          </w:p>
        </w:tc>
        <w:tc>
          <w:tcPr>
            <w:tcW w:type="dxa" w:w="6689"/>
            <w:tcMar>
              <w:top w:w="100" w:type="dxa"/>
              <w:start w:w="140" w:type="dxa"/>
              <w:bottom w:w="100" w:type="dxa"/>
              <w:end w:w="140" w:type="dxa"/>
            </w:tcMar>
            <w:vAlign w:val="center"/>
          </w:tcPr>
          <w:p>
            <w:pPr>
              <w:spacing w:after="0"/>
            </w:pPr>
            <w:r>
              <w:rPr>
                <w:rFonts w:ascii="Arial" w:hAnsi="Arial"/>
                <w:b w:val="0"/>
                <w:i w:val="0"/>
                <w:color w:val="242928"/>
                <w:sz w:val="18"/>
              </w:rPr>
              <w:t>Ancien client particulier ; provenance : Service sans rapport avec l'offre. Canal : Aucun envoi commercial sans consentement adapté. Information : Identité, source et nouvelle finalité. Choix : Consentement distinct à obtenir.</w:t>
            </w:r>
          </w:p>
        </w:tc>
      </w:tr>
    </w:tbl>
    <w:p>
      <w:pPr>
        <w:spacing w:after="20"/>
      </w:pPr>
    </w:p>
    <w:p>
      <w:r>
        <w:br w:type="page"/>
      </w:r>
    </w:p>
    <w:p>
      <w:pPr>
        <w:pStyle w:val="Heading1"/>
      </w:pPr>
      <w:r>
        <w:t>Corrigé — Messages et PREUVE</w:t>
      </w:r>
    </w:p>
    <w:tbl>
      <w:tblPr>
        <w:tblStyle w:val="TableGrid"/>
        <w:jc w:val="center"/>
        <w:tblLook w:firstColumn="1" w:firstRow="1" w:lastColumn="0" w:lastRow="0" w:noHBand="0" w:noVBand="1" w:val="04A0"/>
        <w:tblW w:w="9920" w:type="dxa"/>
        <w:tblInd w:w="0" w:type="dxa"/>
        <w:tblLayout w:type="fixed"/>
      </w:tblPr>
      <w:tblGrid>
        <w:gridCol w:w="850"/>
        <w:gridCol w:w="2267"/>
        <w:gridCol w:w="6803"/>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Décision</w:t>
            </w:r>
          </w:p>
        </w:tc>
        <w:tc>
          <w:tcPr>
            <w:tcW w:type="dxa" w:w="6803"/>
            <w:shd w:fill="173E4E"/>
            <w:tcMar>
              <w:top w:w="100" w:type="dxa"/>
              <w:start w:w="140" w:type="dxa"/>
              <w:bottom w:w="100" w:type="dxa"/>
              <w:end w:w="140" w:type="dxa"/>
            </w:tcMar>
            <w:vAlign w:val="center"/>
          </w:tcPr>
          <w:p>
            <w:pPr>
              <w:spacing w:after="0"/>
              <w:jc w:val="left"/>
            </w:pPr>
            <w:r>
              <w:rPr>
                <w:rFonts w:ascii="Arial" w:hAnsi="Arial"/>
                <w:b/>
                <w:i w:val="0"/>
                <w:color w:val="FFFFFF"/>
                <w:sz w:val="18"/>
              </w:rPr>
              <w:t>Motif</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MSG-01</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À REJETER</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Statut, universalité et garantie non démontrés.</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MSG-02</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À AMÉLIORER</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Identité, contexte, valeur, preuve et possibilité d'opposition manquent.</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MSG-03</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EXPLOITABLE APRÈS CONTRÔLE DU CANAL</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Problème, utilité, étendue, preuve et sortie sont visibles.</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MSG-04</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À REJETER</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Supériorité et résultat absolu sans preuve vérifiable.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MSG-05</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EXPLOITABLE POUR UNE DEMANDE ENTRANTE</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Le message répond au besoin, n'impose pas la mission et prépare la qualification.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MSG-06</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À AMÉLIORER</w:t>
            </w:r>
          </w:p>
        </w:tc>
        <w:tc>
          <w:tcPr>
            <w:tcW w:type="dxa" w:w="6803"/>
            <w:tcMar>
              <w:top w:w="100" w:type="dxa"/>
              <w:start w:w="140" w:type="dxa"/>
              <w:bottom w:w="100" w:type="dxa"/>
              <w:end w:w="140" w:type="dxa"/>
            </w:tcMar>
            <w:vAlign w:val="center"/>
          </w:tcPr>
          <w:p>
            <w:pPr>
              <w:spacing w:after="0"/>
            </w:pPr>
            <w:r>
              <w:rPr>
                <w:rFonts w:ascii="Arial" w:hAnsi="Arial"/>
                <w:b w:val="0"/>
                <w:i w:val="0"/>
                <w:color w:val="242928"/>
                <w:sz w:val="18"/>
              </w:rPr>
              <w:t>Provenance, pertinence professionnelle, identité et opposition ne sont pas correctement traitées.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Exemple réécrit — </w:t>
            </w:r>
            <w:r>
              <w:rPr>
                <w:rFonts w:ascii="Arial" w:hAnsi="Arial"/>
                <w:b w:val="0"/>
                <w:i w:val="0"/>
                <w:color w:val="242928"/>
                <w:sz w:val="21"/>
              </w:rPr>
              <w:t>Projet Balise aide les gestionnaires à décider de la prochaine investigation à partir d'un constat borné et d'une note illustrée. L'exemple joint est entièrement synthétique ; il montre aussi les exclusions. Si ce sujet ne relève pas de vos fonctions, vous pouvez demander l'arrêt des messages par une réponse simple.</w:t>
            </w:r>
          </w:p>
        </w:tc>
      </w:tr>
    </w:tbl>
    <w:p>
      <w:pPr>
        <w:spacing w:after="20"/>
      </w:pPr>
    </w:p>
    <w:p>
      <w:pPr>
        <w:spacing w:before="80" w:after="40"/>
      </w:pPr>
      <w:r>
        <w:rPr>
          <w:rFonts w:ascii="Arial" w:hAnsi="Arial"/>
          <w:b w:val="0"/>
          <w:i/>
          <w:color w:val="5E6662"/>
          <w:sz w:val="16"/>
        </w:rPr>
        <w:t>Repère documentaire : IEB-W02-SRC-T02-014 (T02-C018, T02-C019); IEB-W02-SRC-T02-015 (T02-C020, T02-C021); IEB-W02-SRC-T02-016 (T02-C022, T02-C023, T02-C024)</w:t>
      </w:r>
    </w:p>
    <w:p>
      <w:r>
        <w:br w:type="page"/>
      </w:r>
    </w:p>
    <w:p>
      <w:pPr>
        <w:pStyle w:val="Heading1"/>
      </w:pPr>
      <w:r>
        <w:t>Corrigé — Deux goulots</w:t>
      </w:r>
    </w:p>
    <w:tbl>
      <w:tblPr>
        <w:tblStyle w:val="TableGrid"/>
        <w:jc w:val="center"/>
        <w:tblLook w:firstColumn="1" w:firstRow="1" w:lastColumn="0" w:lastRow="0" w:noHBand="0" w:noVBand="1" w:val="04A0"/>
        <w:tblW w:w="9919" w:type="dxa"/>
        <w:tblInd w:w="0" w:type="dxa"/>
        <w:tblLayout w:type="fixed"/>
      </w:tblPr>
      <w:tblGrid>
        <w:gridCol w:w="850"/>
        <w:gridCol w:w="2267"/>
        <w:gridCol w:w="3968"/>
        <w:gridCol w:w="2834"/>
      </w:tblGrid>
      <w:tr>
        <w:trPr>
          <w:tblHeader w:val="true"/>
        </w:trPr>
        <w:tc>
          <w:tcPr>
            <w:tcW w:type="dxa" w:w="850"/>
            <w:shd w:fill="173E4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Erreur</w:t>
            </w:r>
          </w:p>
        </w:tc>
        <w:tc>
          <w:tcPr>
            <w:tcW w:type="dxa" w:w="3968"/>
            <w:shd w:fill="173E4E"/>
            <w:tcMar>
              <w:top w:w="100" w:type="dxa"/>
              <w:start w:w="140" w:type="dxa"/>
              <w:bottom w:w="100" w:type="dxa"/>
              <w:end w:w="140" w:type="dxa"/>
            </w:tcMar>
            <w:vAlign w:val="center"/>
          </w:tcPr>
          <w:p>
            <w:pPr>
              <w:spacing w:after="0"/>
              <w:jc w:val="left"/>
            </w:pPr>
            <w:r>
              <w:rPr>
                <w:rFonts w:ascii="Arial" w:hAnsi="Arial"/>
                <w:b/>
                <w:i w:val="0"/>
                <w:color w:val="FFFFFF"/>
                <w:sz w:val="18"/>
              </w:rPr>
              <w:t>Lecture</w:t>
            </w:r>
          </w:p>
        </w:tc>
        <w:tc>
          <w:tcPr>
            <w:tcW w:type="dxa" w:w="2834"/>
            <w:shd w:fill="173E4E"/>
            <w:tcMar>
              <w:top w:w="100" w:type="dxa"/>
              <w:start w:w="140" w:type="dxa"/>
              <w:bottom w:w="100" w:type="dxa"/>
              <w:end w:w="140" w:type="dxa"/>
            </w:tcMar>
            <w:vAlign w:val="center"/>
          </w:tcPr>
          <w:p>
            <w:pPr>
              <w:spacing w:after="0"/>
              <w:jc w:val="left"/>
            </w:pPr>
            <w:r>
              <w:rPr>
                <w:rFonts w:ascii="Arial" w:hAnsi="Arial"/>
                <w:b/>
                <w:i w:val="0"/>
                <w:color w:val="FFFFFF"/>
                <w:sz w:val="18"/>
              </w:rPr>
              <w:t>Action</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G-01</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 Il faut plus de contacts. »</w:t>
            </w:r>
          </w:p>
        </w:tc>
        <w:tc>
          <w:tcPr>
            <w:tcW w:type="dxa" w:w="3968"/>
            <w:tcMar>
              <w:top w:w="100" w:type="dxa"/>
              <w:start w:w="140" w:type="dxa"/>
              <w:bottom w:w="100" w:type="dxa"/>
              <w:end w:w="140" w:type="dxa"/>
            </w:tcMar>
            <w:vAlign w:val="center"/>
          </w:tcPr>
          <w:p>
            <w:pPr>
              <w:spacing w:after="0"/>
            </w:pPr>
            <w:r>
              <w:rPr>
                <w:rFonts w:ascii="Arial" w:hAnsi="Arial"/>
                <w:b w:val="0"/>
                <w:i w:val="0"/>
                <w:color w:val="242928"/>
                <w:sz w:val="18"/>
              </w:rPr>
              <w:t>20 contacts, 12 qualifiés, mais 4 seulement entrent dans l'offre : huit demandes sont hors champ.</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Resserrer cible et exclusions, puis mesurer pendant quatre semaines avant d'augmenter la collecte.</w:t>
            </w:r>
          </w:p>
        </w:tc>
      </w:tr>
      <w:tr>
        <w:tc>
          <w:tcPr>
            <w:tcW w:type="dxa" w:w="850"/>
            <w:tcMar>
              <w:top w:w="100" w:type="dxa"/>
              <w:start w:w="140" w:type="dxa"/>
              <w:bottom w:w="100" w:type="dxa"/>
              <w:end w:w="140" w:type="dxa"/>
            </w:tcMar>
            <w:vAlign w:val="center"/>
          </w:tcPr>
          <w:p>
            <w:pPr>
              <w:spacing w:after="0"/>
            </w:pPr>
            <w:r>
              <w:rPr>
                <w:rFonts w:ascii="Arial" w:hAnsi="Arial"/>
                <w:b w:val="0"/>
                <w:i w:val="0"/>
                <w:color w:val="242928"/>
                <w:sz w:val="18"/>
              </w:rPr>
              <w:t>G-02</w:t>
            </w:r>
          </w:p>
        </w:tc>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 Les quatre dossiers sont terminés, donc le mois est sécurisé. »</w:t>
            </w:r>
          </w:p>
        </w:tc>
        <w:tc>
          <w:tcPr>
            <w:tcW w:type="dxa" w:w="3968"/>
            <w:tcMar>
              <w:top w:w="100" w:type="dxa"/>
              <w:start w:w="140" w:type="dxa"/>
              <w:bottom w:w="100" w:type="dxa"/>
              <w:end w:w="140" w:type="dxa"/>
            </w:tcMar>
            <w:vAlign w:val="center"/>
          </w:tcPr>
          <w:p>
            <w:pPr>
              <w:spacing w:after="0"/>
            </w:pPr>
            <w:r>
              <w:rPr>
                <w:rFonts w:ascii="Arial" w:hAnsi="Arial"/>
                <w:b w:val="0"/>
                <w:i w:val="0"/>
                <w:color w:val="242928"/>
                <w:sz w:val="18"/>
              </w:rPr>
              <w:t>20 contacts, 12 qualifiés, 10 propositions, 6 missions livrées et facturées, seulement 2 encaissées à l'échéance.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Instruire les quatre factures, puis corriger émission, échéance, litige et suivi avant d'élargir l'amont.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Q0007 — </w:t>
            </w:r>
            <w:r>
              <w:rPr>
                <w:rFonts w:ascii="Arial" w:hAnsi="Arial"/>
                <w:b w:val="0"/>
                <w:i w:val="0"/>
                <w:color w:val="242928"/>
                <w:sz w:val="21"/>
              </w:rPr>
              <w:t>Le goulot est le passage qui limite la décision ou le flux vérifié. G-01 demande d'abord une lecture des propositions ; G-02 demande de traiter encaissement et trésorerie, pas d'élargir la promesse.</w:t>
            </w:r>
          </w:p>
        </w:tc>
      </w:tr>
    </w:tbl>
    <w:p>
      <w:pPr>
        <w:spacing w:after="20"/>
      </w:pPr>
    </w:p>
    <w:p>
      <w:r>
        <w:br w:type="page"/>
      </w:r>
    </w:p>
    <w:p>
      <w:pPr>
        <w:pStyle w:val="Heading1"/>
      </w:pPr>
      <w:r>
        <w:t>Corrigé — Plan de douze actions</w:t>
      </w:r>
    </w:p>
    <w:tbl>
      <w:tblPr>
        <w:tblStyle w:val="TableGrid"/>
        <w:jc w:val="center"/>
        <w:tblLook w:firstColumn="1" w:firstRow="1" w:lastColumn="0" w:lastRow="0" w:noHBand="0" w:noVBand="1" w:val="04A0"/>
        <w:tblW w:w="9919" w:type="dxa"/>
        <w:tblInd w:w="0" w:type="dxa"/>
        <w:tblLayout w:type="fixed"/>
      </w:tblPr>
      <w:tblGrid>
        <w:gridCol w:w="2267"/>
        <w:gridCol w:w="4251"/>
        <w:gridCol w:w="3401"/>
      </w:tblGrid>
      <w:tr>
        <w:trPr>
          <w:tblHeader w:val="true"/>
        </w:trPr>
        <w:tc>
          <w:tcPr>
            <w:tcW w:type="dxa" w:w="2267"/>
            <w:shd w:fill="173E4E"/>
            <w:tcMar>
              <w:top w:w="100" w:type="dxa"/>
              <w:start w:w="140" w:type="dxa"/>
              <w:bottom w:w="100" w:type="dxa"/>
              <w:end w:w="140" w:type="dxa"/>
            </w:tcMar>
            <w:vAlign w:val="center"/>
          </w:tcPr>
          <w:p>
            <w:pPr>
              <w:spacing w:after="0"/>
              <w:jc w:val="left"/>
            </w:pPr>
            <w:r>
              <w:rPr>
                <w:rFonts w:ascii="Arial" w:hAnsi="Arial"/>
                <w:b/>
                <w:i w:val="0"/>
                <w:color w:val="FFFFFF"/>
                <w:sz w:val="18"/>
              </w:rPr>
              <w:t>Phase</w:t>
            </w:r>
          </w:p>
        </w:tc>
        <w:tc>
          <w:tcPr>
            <w:tcW w:type="dxa" w:w="4251"/>
            <w:shd w:fill="173E4E"/>
            <w:tcMar>
              <w:top w:w="100" w:type="dxa"/>
              <w:start w:w="140" w:type="dxa"/>
              <w:bottom w:w="100" w:type="dxa"/>
              <w:end w:w="140" w:type="dxa"/>
            </w:tcMar>
            <w:vAlign w:val="center"/>
          </w:tcPr>
          <w:p>
            <w:pPr>
              <w:spacing w:after="0"/>
              <w:jc w:val="left"/>
            </w:pPr>
            <w:r>
              <w:rPr>
                <w:rFonts w:ascii="Arial" w:hAnsi="Arial"/>
                <w:b/>
                <w:i w:val="0"/>
                <w:color w:val="FFFFFF"/>
                <w:sz w:val="18"/>
              </w:rPr>
              <w:t>Actions</w:t>
            </w:r>
          </w:p>
        </w:tc>
        <w:tc>
          <w:tcPr>
            <w:tcW w:type="dxa" w:w="3401"/>
            <w:shd w:fill="173E4E"/>
            <w:tcMar>
              <w:top w:w="100" w:type="dxa"/>
              <w:start w:w="140" w:type="dxa"/>
              <w:bottom w:w="100" w:type="dxa"/>
              <w:end w:w="140" w:type="dxa"/>
            </w:tcMar>
            <w:vAlign w:val="center"/>
          </w:tcPr>
          <w:p>
            <w:pPr>
              <w:spacing w:after="0"/>
              <w:jc w:val="left"/>
            </w:pPr>
            <w:r>
              <w:rPr>
                <w:rFonts w:ascii="Arial" w:hAnsi="Arial"/>
                <w:b/>
                <w:i w:val="0"/>
                <w:color w:val="FFFFFF"/>
                <w:sz w:val="18"/>
              </w:rPr>
              <w:t>Condition de passage</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J+1 à J+30 — Borner</w:t>
            </w:r>
          </w:p>
        </w:tc>
        <w:tc>
          <w:tcPr>
            <w:tcW w:type="dxa" w:w="4251"/>
            <w:tcMar>
              <w:top w:w="100" w:type="dxa"/>
              <w:start w:w="140" w:type="dxa"/>
              <w:bottom w:w="100" w:type="dxa"/>
              <w:end w:w="140" w:type="dxa"/>
            </w:tcMar>
            <w:vAlign w:val="center"/>
          </w:tcPr>
          <w:p>
            <w:pPr>
              <w:spacing w:after="0"/>
            </w:pPr>
            <w:r>
              <w:rPr>
                <w:rFonts w:ascii="Arial" w:hAnsi="Arial"/>
                <w:b w:val="0"/>
                <w:i w:val="0"/>
                <w:color w:val="242928"/>
                <w:sz w:val="18"/>
              </w:rPr>
              <w:t>A-01 à A-06 : segment, offre, qualification, cadre, assurance et bouclier.</w:t>
            </w:r>
          </w:p>
        </w:tc>
        <w:tc>
          <w:tcPr>
            <w:tcW w:type="dxa" w:w="3401"/>
            <w:tcMar>
              <w:top w:w="100" w:type="dxa"/>
              <w:start w:w="140" w:type="dxa"/>
              <w:bottom w:w="100" w:type="dxa"/>
              <w:end w:w="140" w:type="dxa"/>
            </w:tcMar>
            <w:vAlign w:val="center"/>
          </w:tcPr>
          <w:p>
            <w:pPr>
              <w:spacing w:after="0"/>
            </w:pPr>
            <w:r>
              <w:rPr>
                <w:rFonts w:ascii="Arial" w:hAnsi="Arial"/>
                <w:b w:val="0"/>
                <w:i w:val="0"/>
                <w:color w:val="242928"/>
                <w:sz w:val="18"/>
              </w:rPr>
              <w:t>Aucune mission tant qu'un contrôle critique de compétence, cadre ou couverture reste ouvert.</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J+31 à J+60 — Éprouver</w:t>
            </w:r>
          </w:p>
        </w:tc>
        <w:tc>
          <w:tcPr>
            <w:tcW w:type="dxa" w:w="4251"/>
            <w:tcMar>
              <w:top w:w="100" w:type="dxa"/>
              <w:start w:w="140" w:type="dxa"/>
              <w:bottom w:w="100" w:type="dxa"/>
              <w:end w:w="140" w:type="dxa"/>
            </w:tcMar>
            <w:vAlign w:val="center"/>
          </w:tcPr>
          <w:p>
            <w:pPr>
              <w:spacing w:after="0"/>
            </w:pPr>
            <w:r>
              <w:rPr>
                <w:rFonts w:ascii="Arial" w:hAnsi="Arial"/>
                <w:b w:val="0"/>
                <w:i w:val="0"/>
                <w:color w:val="242928"/>
                <w:sz w:val="18"/>
              </w:rPr>
              <w:t>A-07 à A-10 : capacité, prix, trésorerie, canal et première expérience.</w:t>
            </w:r>
          </w:p>
        </w:tc>
        <w:tc>
          <w:tcPr>
            <w:tcW w:type="dxa" w:w="3401"/>
            <w:tcMar>
              <w:top w:w="100" w:type="dxa"/>
              <w:start w:w="140" w:type="dxa"/>
              <w:bottom w:w="100" w:type="dxa"/>
              <w:end w:w="140" w:type="dxa"/>
            </w:tcMar>
            <w:vAlign w:val="center"/>
          </w:tcPr>
          <w:p>
            <w:pPr>
              <w:spacing w:after="0"/>
            </w:pPr>
            <w:r>
              <w:rPr>
                <w:rFonts w:ascii="Arial" w:hAnsi="Arial"/>
                <w:b w:val="0"/>
                <w:i w:val="0"/>
                <w:color w:val="242928"/>
                <w:sz w:val="18"/>
              </w:rPr>
              <w:t>Limiter l'expérience au volume compatible avec 80 h et au canal admis.</w:t>
            </w:r>
          </w:p>
        </w:tc>
      </w:tr>
      <w:tr>
        <w:tc>
          <w:tcPr>
            <w:tcW w:type="dxa" w:w="2267"/>
            <w:tcMar>
              <w:top w:w="100" w:type="dxa"/>
              <w:start w:w="140" w:type="dxa"/>
              <w:bottom w:w="100" w:type="dxa"/>
              <w:end w:w="140" w:type="dxa"/>
            </w:tcMar>
            <w:vAlign w:val="center"/>
          </w:tcPr>
          <w:p>
            <w:pPr>
              <w:spacing w:after="0"/>
            </w:pPr>
            <w:r>
              <w:rPr>
                <w:rFonts w:ascii="Arial" w:hAnsi="Arial"/>
                <w:b w:val="0"/>
                <w:i w:val="0"/>
                <w:color w:val="242928"/>
                <w:sz w:val="18"/>
              </w:rPr>
              <w:t>J+61 à J+90 — Décider</w:t>
            </w:r>
          </w:p>
        </w:tc>
        <w:tc>
          <w:tcPr>
            <w:tcW w:type="dxa" w:w="4251"/>
            <w:tcMar>
              <w:top w:w="100" w:type="dxa"/>
              <w:start w:w="140" w:type="dxa"/>
              <w:bottom w:w="100" w:type="dxa"/>
              <w:end w:w="140" w:type="dxa"/>
            </w:tcMar>
            <w:vAlign w:val="center"/>
          </w:tcPr>
          <w:p>
            <w:pPr>
              <w:spacing w:after="0"/>
            </w:pPr>
            <w:r>
              <w:rPr>
                <w:rFonts w:ascii="Arial" w:hAnsi="Arial"/>
                <w:b w:val="0"/>
                <w:i w:val="0"/>
                <w:color w:val="242928"/>
                <w:sz w:val="18"/>
              </w:rPr>
              <w:t>A-11 et A-12 : cockpit, six indicateurs et revue.</w:t>
            </w:r>
          </w:p>
        </w:tc>
        <w:tc>
          <w:tcPr>
            <w:tcW w:type="dxa" w:w="3401"/>
            <w:tcMar>
              <w:top w:w="100" w:type="dxa"/>
              <w:start w:w="140" w:type="dxa"/>
              <w:bottom w:w="100" w:type="dxa"/>
              <w:end w:w="140" w:type="dxa"/>
            </w:tcMar>
            <w:vAlign w:val="center"/>
          </w:tcPr>
          <w:p>
            <w:pPr>
              <w:spacing w:after="0"/>
            </w:pPr>
            <w:r>
              <w:rPr>
                <w:rFonts w:ascii="Arial" w:hAnsi="Arial"/>
                <w:b w:val="0"/>
                <w:i w:val="0"/>
                <w:color w:val="242928"/>
                <w:sz w:val="18"/>
              </w:rPr>
              <w:t>Continuer, modifier ou arrêter avec une trace et un relais nommé.</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Réponse indicative — </w:t>
            </w:r>
            <w:r>
              <w:rPr>
                <w:rFonts w:ascii="Arial" w:hAnsi="Arial"/>
                <w:b w:val="0"/>
                <w:i w:val="0"/>
                <w:color w:val="242928"/>
                <w:sz w:val="21"/>
              </w:rPr>
              <w:t>Le Projet Balise commence par SEG-01 et OF-02, applique la fiche aux quatre demandes, ferme CHOIX et le bouclier avec les conseils, retient un scénario de capacité admissible, puis teste un seul canal. Le cockpit sépare chaque stade. Les expériences ont une date de lecture ; toute saturation, promesse hors champ ou absence de preuve déclenche modification, arrêt ou orientation.</w:t>
            </w:r>
          </w:p>
        </w:tc>
      </w:tr>
    </w:tbl>
    <w:p>
      <w:pPr>
        <w:spacing w:after="20"/>
      </w:pPr>
    </w:p>
    <w:p>
      <w:r>
        <w:br w:type="page"/>
      </w:r>
    </w:p>
    <w:p>
      <w:pPr>
        <w:pStyle w:val="Heading1"/>
      </w:pPr>
      <w:r>
        <w:t>Corrigé — Expériences et indicateurs</w:t>
      </w:r>
    </w:p>
    <w:tbl>
      <w:tblPr>
        <w:tblStyle w:val="TableGrid"/>
        <w:jc w:val="center"/>
        <w:tblLook w:firstColumn="1" w:firstRow="1" w:lastColumn="0" w:lastRow="0" w:noHBand="0" w:noVBand="1" w:val="04A0"/>
        <w:tblW w:w="9921" w:type="dxa"/>
        <w:tblInd w:w="0" w:type="dxa"/>
        <w:tblLayout w:type="fixed"/>
      </w:tblPr>
      <w:tblGrid>
        <w:gridCol w:w="2381"/>
        <w:gridCol w:w="7540"/>
      </w:tblGrid>
      <w:tr>
        <w:trPr>
          <w:tblHeader w:val="true"/>
        </w:trPr>
        <w:tc>
          <w:tcPr>
            <w:tcW w:type="dxa" w:w="2381"/>
            <w:shd w:fill="173E4E"/>
            <w:tcMar>
              <w:top w:w="100" w:type="dxa"/>
              <w:start w:w="140" w:type="dxa"/>
              <w:bottom w:w="100" w:type="dxa"/>
              <w:end w:w="140" w:type="dxa"/>
            </w:tcMar>
            <w:vAlign w:val="center"/>
          </w:tcPr>
          <w:p>
            <w:pPr>
              <w:spacing w:after="0"/>
              <w:jc w:val="left"/>
            </w:pPr>
            <w:r>
              <w:rPr>
                <w:rFonts w:ascii="Arial" w:hAnsi="Arial"/>
                <w:b/>
                <w:i w:val="0"/>
                <w:color w:val="FFFFFF"/>
                <w:sz w:val="18"/>
              </w:rPr>
              <w:t>Élément</w:t>
            </w:r>
          </w:p>
        </w:tc>
        <w:tc>
          <w:tcPr>
            <w:tcW w:type="dxa" w:w="7540"/>
            <w:shd w:fill="173E4E"/>
            <w:tcMar>
              <w:top w:w="100" w:type="dxa"/>
              <w:start w:w="140" w:type="dxa"/>
              <w:bottom w:w="100" w:type="dxa"/>
              <w:end w:w="140" w:type="dxa"/>
            </w:tcMar>
            <w:vAlign w:val="center"/>
          </w:tcPr>
          <w:p>
            <w:pPr>
              <w:spacing w:after="0"/>
              <w:jc w:val="left"/>
            </w:pPr>
            <w:r>
              <w:rPr>
                <w:rFonts w:ascii="Arial" w:hAnsi="Arial"/>
                <w:b/>
                <w:i w:val="0"/>
                <w:color w:val="FFFFFF"/>
                <w:sz w:val="18"/>
              </w:rPr>
              <w:t>Recevable si...</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EXP-01 à EXP-03</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l'hypothèse peut être infirmée, l'action est limitée, l'indicateur est calculable, la date est fixée et la règle de décision précède le résultat</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IND-01 / Acquisition</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la provenance et l'admissibilité comptent davantage que le volume brut</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IND-02 / Qualification</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chaque contact examiné reçoit une sortie motivée</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IND-03 / Capacité</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les heures engagées sont comparées aux 80 h facturables prudentes, pas aux 140 h disponibles</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IND-04 / Livraison</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le délai promis et la relecture sont mesurés</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IND-05 / Encaissement</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facturé et encaissé restent séparés</w:t>
            </w:r>
          </w:p>
        </w:tc>
      </w:tr>
      <w:tr>
        <w:tc>
          <w:tcPr>
            <w:tcW w:type="dxa" w:w="2381"/>
            <w:tcMar>
              <w:top w:w="100" w:type="dxa"/>
              <w:start w:w="140" w:type="dxa"/>
              <w:bottom w:w="100" w:type="dxa"/>
              <w:end w:w="140" w:type="dxa"/>
            </w:tcMar>
            <w:vAlign w:val="center"/>
          </w:tcPr>
          <w:p>
            <w:pPr>
              <w:spacing w:after="0"/>
            </w:pPr>
            <w:r>
              <w:rPr>
                <w:rFonts w:ascii="Arial" w:hAnsi="Arial"/>
                <w:b w:val="0"/>
                <w:i w:val="0"/>
                <w:color w:val="242928"/>
                <w:sz w:val="18"/>
              </w:rPr>
              <w:t>IND-06 / Qualité</w:t>
            </w:r>
          </w:p>
        </w:tc>
        <w:tc>
          <w:tcPr>
            <w:tcW w:type="dxa" w:w="7540"/>
            <w:tcMar>
              <w:top w:w="100" w:type="dxa"/>
              <w:start w:w="140" w:type="dxa"/>
              <w:bottom w:w="100" w:type="dxa"/>
              <w:end w:w="140" w:type="dxa"/>
            </w:tcMar>
            <w:vAlign w:val="center"/>
          </w:tcPr>
          <w:p>
            <w:pPr>
              <w:spacing w:after="0"/>
            </w:pPr>
            <w:r>
              <w:rPr>
                <w:rFonts w:ascii="Arial" w:hAnsi="Arial"/>
                <w:b w:val="0"/>
                <w:i w:val="0"/>
                <w:color w:val="242928"/>
                <w:sz w:val="18"/>
              </w:rPr>
              <w:t>une correction substantielle change une décision, une limite ou un livrable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Critère d'arrêt — </w:t>
            </w:r>
            <w:r>
              <w:rPr>
                <w:rFonts w:ascii="Arial" w:hAnsi="Arial"/>
                <w:b w:val="0"/>
                <w:i w:val="0"/>
                <w:color w:val="242928"/>
                <w:sz w:val="21"/>
              </w:rPr>
              <w:t>Arrêter ou revoir l'expérience si l'offre attire surtout des demandes hors champ, si les protections ne ferment pas, si la capacité est dépassée, si la provenance des contacts est incertaine ou si l'indicateur ne change aucune décision.</w:t>
            </w:r>
          </w:p>
        </w:tc>
      </w:tr>
    </w:tbl>
    <w:p>
      <w:pPr>
        <w:spacing w:after="20"/>
      </w:pPr>
    </w:p>
    <w:p>
      <w:r>
        <w:br w:type="page"/>
      </w:r>
    </w:p>
    <w:p>
      <w:pPr>
        <w:pStyle w:val="Heading1"/>
      </w:pPr>
      <w:r>
        <w:t>Corrigé — Évaluations Q0001 à Q0004</w:t>
      </w:r>
    </w:p>
    <w:tbl>
      <w:tblPr>
        <w:tblStyle w:val="TableGrid"/>
        <w:jc w:val="center"/>
        <w:tblLook w:firstColumn="1" w:firstRow="1" w:lastColumn="0" w:lastRow="0" w:noHBand="0" w:noVBand="1" w:val="04A0"/>
        <w:tblW w:w="9919" w:type="dxa"/>
        <w:tblInd w:w="0" w:type="dxa"/>
        <w:tblLayout w:type="fixed"/>
      </w:tblPr>
      <w:tblGrid>
        <w:gridCol w:w="907"/>
        <w:gridCol w:w="1700"/>
        <w:gridCol w:w="2834"/>
        <w:gridCol w:w="4478"/>
      </w:tblGrid>
      <w:tr>
        <w:trPr>
          <w:tblHeader w:val="true"/>
        </w:trPr>
        <w:tc>
          <w:tcPr>
            <w:tcW w:type="dxa" w:w="907"/>
            <w:shd w:fill="173E4E"/>
            <w:tcMar>
              <w:top w:w="100" w:type="dxa"/>
              <w:start w:w="140" w:type="dxa"/>
              <w:bottom w:w="100" w:type="dxa"/>
              <w:end w:w="140" w:type="dxa"/>
            </w:tcMar>
            <w:vAlign w:val="center"/>
          </w:tcPr>
          <w:p>
            <w:pPr>
              <w:spacing w:after="0"/>
              <w:jc w:val="left"/>
            </w:pPr>
            <w:r>
              <w:rPr>
                <w:rFonts w:ascii="Arial" w:hAnsi="Arial"/>
                <w:b/>
                <w:i w:val="0"/>
                <w:color w:val="FFFFFF"/>
                <w:sz w:val="18"/>
              </w:rPr>
              <w:t>Item</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Format</w:t>
            </w:r>
          </w:p>
        </w:tc>
        <w:tc>
          <w:tcPr>
            <w:tcW w:type="dxa" w:w="2834"/>
            <w:shd w:fill="173E4E"/>
            <w:tcMar>
              <w:top w:w="100" w:type="dxa"/>
              <w:start w:w="140" w:type="dxa"/>
              <w:bottom w:w="100" w:type="dxa"/>
              <w:end w:w="140" w:type="dxa"/>
            </w:tcMar>
            <w:vAlign w:val="center"/>
          </w:tcPr>
          <w:p>
            <w:pPr>
              <w:spacing w:after="0"/>
              <w:jc w:val="left"/>
            </w:pPr>
            <w:r>
              <w:rPr>
                <w:rFonts w:ascii="Arial" w:hAnsi="Arial"/>
                <w:b/>
                <w:i w:val="0"/>
                <w:color w:val="FFFFFF"/>
                <w:sz w:val="18"/>
              </w:rPr>
              <w:t>Réponse ou grille</w:t>
            </w:r>
          </w:p>
        </w:tc>
        <w:tc>
          <w:tcPr>
            <w:tcW w:type="dxa" w:w="4478"/>
            <w:shd w:fill="173E4E"/>
            <w:tcMar>
              <w:top w:w="100" w:type="dxa"/>
              <w:start w:w="140" w:type="dxa"/>
              <w:bottom w:w="100" w:type="dxa"/>
              <w:end w:w="140" w:type="dxa"/>
            </w:tcMar>
            <w:vAlign w:val="center"/>
          </w:tcPr>
          <w:p>
            <w:pPr>
              <w:spacing w:after="0"/>
              <w:jc w:val="left"/>
            </w:pPr>
            <w:r>
              <w:rPr>
                <w:rFonts w:ascii="Arial" w:hAnsi="Arial"/>
                <w:b/>
                <w:i w:val="0"/>
                <w:color w:val="FFFFFF"/>
                <w:sz w:val="18"/>
              </w:rPr>
              <w:t>Retour motivé</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Q0001</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single choice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B</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La formulation identifie le destinataire, la décision, le livrable et les limites sans promettre un résultat incontrôlable.</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Q0002</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ordering</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B / A / D / E / C</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La demande est d'abord comprise, puis confrontée aux capacités et protections avant toute promesse.</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Q0003</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matching</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Quelles formalités correspondent à l'activité et à la forme retenues ? → Guichet unique et administration compétente ; Quelles activités, garanties, exclusions et territoires sont effectivement couverts ? → Assureur ou intermédiaire, confirmation écrite ; Quelles conséquences fiscales, sociales et de trésorerie ont les scénarios personnels ? → Expert-comptable ou conseil compétent avec données à jour ; Une clause ou une combinaison d'actes crée-t-elle un risque juridique particulier ? → Conseil juridique compétent</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La matrice organise les questions ; elle ne remplace pas la source ou le conseil qui peut répondre dans le contexte réel.</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Q0004</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multiple choice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A / B / C / D</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Le bouclier relie information, consentement, rétractation, médiation et couverture réelle sans promesse indéfinie.</w:t>
            </w:r>
          </w:p>
        </w:tc>
      </w:tr>
    </w:tbl>
    <w:p>
      <w:pPr>
        <w:spacing w:after="20"/>
      </w:pPr>
    </w:p>
    <w:p>
      <w:r>
        <w:br w:type="page"/>
      </w:r>
    </w:p>
    <w:p>
      <w:pPr>
        <w:pStyle w:val="Heading1"/>
      </w:pPr>
      <w:r>
        <w:t>Corrigé — Évaluations Q0005 à Q0008</w:t>
      </w:r>
    </w:p>
    <w:tbl>
      <w:tblPr>
        <w:tblStyle w:val="TableGrid"/>
        <w:jc w:val="center"/>
        <w:tblLook w:firstColumn="1" w:firstRow="1" w:lastColumn="0" w:lastRow="0" w:noHBand="0" w:noVBand="1" w:val="04A0"/>
        <w:tblW w:w="9919" w:type="dxa"/>
        <w:tblInd w:w="0" w:type="dxa"/>
        <w:tblLayout w:type="fixed"/>
      </w:tblPr>
      <w:tblGrid>
        <w:gridCol w:w="907"/>
        <w:gridCol w:w="1700"/>
        <w:gridCol w:w="2834"/>
        <w:gridCol w:w="4478"/>
      </w:tblGrid>
      <w:tr>
        <w:trPr>
          <w:tblHeader w:val="true"/>
        </w:trPr>
        <w:tc>
          <w:tcPr>
            <w:tcW w:type="dxa" w:w="907"/>
            <w:shd w:fill="173E4E"/>
            <w:tcMar>
              <w:top w:w="100" w:type="dxa"/>
              <w:start w:w="140" w:type="dxa"/>
              <w:bottom w:w="100" w:type="dxa"/>
              <w:end w:w="140" w:type="dxa"/>
            </w:tcMar>
            <w:vAlign w:val="center"/>
          </w:tcPr>
          <w:p>
            <w:pPr>
              <w:spacing w:after="0"/>
              <w:jc w:val="left"/>
            </w:pPr>
            <w:r>
              <w:rPr>
                <w:rFonts w:ascii="Arial" w:hAnsi="Arial"/>
                <w:b/>
                <w:i w:val="0"/>
                <w:color w:val="FFFFFF"/>
                <w:sz w:val="18"/>
              </w:rPr>
              <w:t>Item</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Format</w:t>
            </w:r>
          </w:p>
        </w:tc>
        <w:tc>
          <w:tcPr>
            <w:tcW w:type="dxa" w:w="2834"/>
            <w:shd w:fill="173E4E"/>
            <w:tcMar>
              <w:top w:w="100" w:type="dxa"/>
              <w:start w:w="140" w:type="dxa"/>
              <w:bottom w:w="100" w:type="dxa"/>
              <w:end w:w="140" w:type="dxa"/>
            </w:tcMar>
            <w:vAlign w:val="center"/>
          </w:tcPr>
          <w:p>
            <w:pPr>
              <w:spacing w:after="0"/>
              <w:jc w:val="left"/>
            </w:pPr>
            <w:r>
              <w:rPr>
                <w:rFonts w:ascii="Arial" w:hAnsi="Arial"/>
                <w:b/>
                <w:i w:val="0"/>
                <w:color w:val="FFFFFF"/>
                <w:sz w:val="18"/>
              </w:rPr>
              <w:t>Réponse ou grille</w:t>
            </w:r>
          </w:p>
        </w:tc>
        <w:tc>
          <w:tcPr>
            <w:tcW w:type="dxa" w:w="4478"/>
            <w:shd w:fill="173E4E"/>
            <w:tcMar>
              <w:top w:w="100" w:type="dxa"/>
              <w:start w:w="140" w:type="dxa"/>
              <w:bottom w:w="100" w:type="dxa"/>
              <w:end w:w="140" w:type="dxa"/>
            </w:tcMar>
            <w:vAlign w:val="center"/>
          </w:tcPr>
          <w:p>
            <w:pPr>
              <w:spacing w:after="0"/>
              <w:jc w:val="left"/>
            </w:pPr>
            <w:r>
              <w:rPr>
                <w:rFonts w:ascii="Arial" w:hAnsi="Arial"/>
                <w:b/>
                <w:i w:val="0"/>
                <w:color w:val="FFFFFF"/>
                <w:sz w:val="18"/>
              </w:rPr>
              <w:t>Retour motivé</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Q0005</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single choice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B</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Le calcul relie le besoin mensuel à la capacité facturable, puis doit encore être testé contre le marché, les taxes, les frais et les encaissements.</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Q0006</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multiple choice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A / B / C / D</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Le canal, le destinataire, la provenance, l'information et l'opposition se contrôlent ensemble.</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Q0007</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single choice</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B</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Le goulot observé se situe entre facturation et encaissement ; il faut l'instruire avant d'augmenter l'amont.</w:t>
            </w:r>
          </w:p>
        </w:tc>
      </w:tr>
      <w:tr>
        <w:tc>
          <w:tcPr>
            <w:tcW w:type="dxa" w:w="907"/>
            <w:tcMar>
              <w:top w:w="100" w:type="dxa"/>
              <w:start w:w="140" w:type="dxa"/>
              <w:bottom w:w="100" w:type="dxa"/>
              <w:end w:w="140" w:type="dxa"/>
            </w:tcMar>
            <w:vAlign w:val="center"/>
          </w:tcPr>
          <w:p>
            <w:pPr>
              <w:spacing w:after="0"/>
            </w:pPr>
            <w:r>
              <w:rPr>
                <w:rFonts w:ascii="Arial" w:hAnsi="Arial"/>
                <w:b w:val="0"/>
                <w:i w:val="0"/>
                <w:color w:val="242928"/>
                <w:sz w:val="18"/>
              </w:rPr>
              <w:t>Q0008</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business action plan human review</w:t>
            </w:r>
          </w:p>
        </w:tc>
        <w:tc>
          <w:tcPr>
            <w:tcW w:type="dxa" w:w="2834"/>
            <w:tcMar>
              <w:top w:w="100" w:type="dxa"/>
              <w:start w:w="140" w:type="dxa"/>
              <w:bottom w:w="100" w:type="dxa"/>
              <w:end w:w="140" w:type="dxa"/>
            </w:tcMar>
            <w:vAlign w:val="center"/>
          </w:tcPr>
          <w:p>
            <w:pPr>
              <w:spacing w:after="0"/>
            </w:pPr>
            <w:r>
              <w:rPr>
                <w:rFonts w:ascii="Arial" w:hAnsi="Arial"/>
                <w:b w:val="0"/>
                <w:i w:val="0"/>
                <w:color w:val="242928"/>
                <w:sz w:val="18"/>
              </w:rPr>
              <w:t>Revue humaine — 8 critères</w:t>
            </w:r>
          </w:p>
        </w:tc>
        <w:tc>
          <w:tcPr>
            <w:tcW w:type="dxa" w:w="4478"/>
            <w:tcMar>
              <w:top w:w="100" w:type="dxa"/>
              <w:start w:w="140" w:type="dxa"/>
              <w:bottom w:w="100" w:type="dxa"/>
              <w:end w:w="140" w:type="dxa"/>
            </w:tcMar>
            <w:vAlign w:val="center"/>
          </w:tcPr>
          <w:p>
            <w:pPr>
              <w:spacing w:after="0"/>
            </w:pPr>
            <w:r>
              <w:rPr>
                <w:rFonts w:ascii="Arial" w:hAnsi="Arial"/>
                <w:b w:val="0"/>
                <w:i w:val="0"/>
                <w:color w:val="242928"/>
                <w:sz w:val="18"/>
              </w:rPr>
              <w:t>Le plan relie promesse, protection, capacité, acquisition et apprentissage dans une séquence mesurable et réversible.</w:t>
            </w:r>
          </w:p>
        </w:tc>
      </w:tr>
    </w:tbl>
    <w:p>
      <w:pPr>
        <w:spacing w:after="20"/>
      </w:pPr>
    </w:p>
    <w:p>
      <w:r>
        <w:br w:type="page"/>
      </w:r>
    </w:p>
    <w:p>
      <w:pPr>
        <w:pStyle w:val="Heading1"/>
      </w:pPr>
      <w:r>
        <w:t>Corrigé — Grille humaine Q0008</w:t>
      </w:r>
    </w:p>
    <w:p>
      <w:r>
        <w:rPr>
          <w:rFonts w:ascii="Arial" w:hAnsi="Arial"/>
          <w:b w:val="0"/>
          <w:i w:val="0"/>
          <w:color w:val="20282D"/>
          <w:sz w:val="21"/>
        </w:rPr>
        <w:t>Pour Projet Balise, rédigez un plan de 180 à 260 mots pour les quatre-vingt-dix prochains jours : offre bornée, règle de qualification, trois vérifications de cadre ou de protection avec leur interlocuteur, hypothèses de capacité-prix, une séquence d'acquisition permise, six indicateurs et trois décisions continuer-modifier-arrêter.</w:t>
      </w:r>
    </w:p>
    <w:tbl>
      <w:tblPr>
        <w:tblStyle w:val="TableGrid"/>
        <w:jc w:val="center"/>
        <w:tblLook w:firstColumn="1" w:firstRow="1" w:lastColumn="0" w:lastRow="0" w:noHBand="0" w:noVBand="1" w:val="04A0"/>
        <w:tblW w:w="9919" w:type="dxa"/>
        <w:tblInd w:w="0" w:type="dxa"/>
        <w:tblLayout w:type="fixed"/>
      </w:tblPr>
      <w:tblGrid>
        <w:gridCol w:w="1133"/>
        <w:gridCol w:w="7086"/>
        <w:gridCol w:w="1700"/>
      </w:tblGrid>
      <w:tr>
        <w:trPr>
          <w:tblHeader w:val="true"/>
        </w:trPr>
        <w:tc>
          <w:tcPr>
            <w:tcW w:type="dxa" w:w="1133"/>
            <w:shd w:fill="173E4E"/>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7086"/>
            <w:shd w:fill="173E4E"/>
            <w:tcMar>
              <w:top w:w="100" w:type="dxa"/>
              <w:start w:w="140" w:type="dxa"/>
              <w:bottom w:w="100" w:type="dxa"/>
              <w:end w:w="140" w:type="dxa"/>
            </w:tcMar>
            <w:vAlign w:val="center"/>
          </w:tcPr>
          <w:p>
            <w:pPr>
              <w:spacing w:after="0"/>
              <w:jc w:val="left"/>
            </w:pPr>
            <w:r>
              <w:rPr>
                <w:rFonts w:ascii="Arial" w:hAnsi="Arial"/>
                <w:b/>
                <w:i w:val="0"/>
                <w:color w:val="FFFFFF"/>
                <w:sz w:val="18"/>
              </w:rPr>
              <w:t>Indicateur observable</w:t>
            </w:r>
          </w:p>
        </w:tc>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Barème indicatif</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C-01</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l'offre nomme une cible, une décision, un livrable, des appuis et des limites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C-02</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les quatre sorties accepter, clarifier, refuser et orienter sont utilisables</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C-03</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les questions juridiques, administratives, comptables et assurantielles sont confiées aux bons interlocuteurs sans réponse inventée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C-04</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le bouclier couvre information du client, contrat, assurance, données, rétractation ou médiation lorsque leur champ est pertinent</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C-05</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le prix est relié à une capacité facturable, tous les coûts et un test de trésorerie</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C-06</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la prospection distingue destinataire, canal, provenance, information, consentement ou opposition</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C-07</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les six indicateurs séparent acquisition, qualification, capacité, livraison, encaissement et qualité</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r>
        <w:tc>
          <w:tcPr>
            <w:tcW w:type="dxa" w:w="1133"/>
            <w:tcMar>
              <w:top w:w="100" w:type="dxa"/>
              <w:start w:w="140" w:type="dxa"/>
              <w:bottom w:w="100" w:type="dxa"/>
              <w:end w:w="140" w:type="dxa"/>
            </w:tcMar>
            <w:vAlign w:val="center"/>
          </w:tcPr>
          <w:p>
            <w:pPr>
              <w:spacing w:after="0"/>
            </w:pPr>
            <w:r>
              <w:rPr>
                <w:rFonts w:ascii="Arial" w:hAnsi="Arial"/>
                <w:b w:val="0"/>
                <w:i w:val="0"/>
                <w:color w:val="242928"/>
                <w:sz w:val="18"/>
              </w:rPr>
              <w:t>C-08</w:t>
            </w:r>
          </w:p>
        </w:tc>
        <w:tc>
          <w:tcPr>
            <w:tcW w:type="dxa" w:w="7086"/>
            <w:tcMar>
              <w:top w:w="100" w:type="dxa"/>
              <w:start w:w="140" w:type="dxa"/>
              <w:bottom w:w="100" w:type="dxa"/>
              <w:end w:w="140" w:type="dxa"/>
            </w:tcMar>
            <w:vAlign w:val="center"/>
          </w:tcPr>
          <w:p>
            <w:pPr>
              <w:spacing w:after="0"/>
            </w:pPr>
            <w:r>
              <w:rPr>
                <w:rFonts w:ascii="Arial" w:hAnsi="Arial"/>
                <w:b w:val="0"/>
                <w:i w:val="0"/>
                <w:color w:val="242928"/>
                <w:sz w:val="18"/>
              </w:rPr>
              <w:t>chaque expérience a une hypothèse, une action limitée, une date de lecture et une décision continuer, modifier ou arrêter</w:t>
            </w:r>
          </w:p>
        </w:tc>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0 / 0,5 / 1</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Périmètre de la revue — </w:t>
            </w:r>
            <w:r>
              <w:rPr>
                <w:rFonts w:ascii="Arial" w:hAnsi="Arial"/>
                <w:b w:val="0"/>
                <w:i w:val="0"/>
                <w:color w:val="242928"/>
                <w:sz w:val="21"/>
              </w:rPr>
              <w:t>La relecture porte uniquement sur votre réponse Q0008 et sur les huit critères ci-dessous. Appuyez-vous sur le retour reçu pour améliorer votre plan et poursuivre les autres activités.</w:t>
            </w:r>
          </w:p>
        </w:tc>
      </w:tr>
    </w:tbl>
    <w:p>
      <w:pPr>
        <w:spacing w:after="20"/>
      </w:pPr>
    </w:p>
    <w:p>
      <w:pPr>
        <w:pStyle w:val="Heading2"/>
      </w:pPr>
      <w:r>
        <w:t>Exemple indicatif — 180 à 260 mots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ED"/>
            <w:tcMar>
              <w:top w:w="130" w:type="dxa"/>
              <w:start w:w="170" w:type="dxa"/>
              <w:bottom w:w="130" w:type="dxa"/>
              <w:end w:w="170" w:type="dxa"/>
            </w:tcMar>
            <w:vAlign w:val="center"/>
          </w:tcPr>
          <w:p>
            <w:pPr>
              <w:spacing w:after="0"/>
            </w:pPr>
            <w:r>
              <w:rPr>
                <w:rFonts w:ascii="Arial" w:hAnsi="Arial"/>
                <w:b/>
                <w:i w:val="0"/>
                <w:color w:val="A7552D"/>
                <w:sz w:val="21"/>
              </w:rPr>
              <w:t xml:space="preserve">Plan possible — </w:t>
            </w:r>
            <w:r>
              <w:rPr>
                <w:rFonts w:ascii="Arial" w:hAnsi="Arial"/>
                <w:b w:val="0"/>
                <w:i w:val="0"/>
                <w:color w:val="242928"/>
                <w:sz w:val="21"/>
              </w:rPr>
              <w:t>Projet Balise vise les propriétaires qui doivent choisir une investigation après une manifestation accessible. Il remet une note de constat et d'orientation, appuyée par un relevé et une méthode documentée ; la responsabilité, l'exhaustivité, les zones non convenues et les spécialités absentes restent exclues. Chaque demande suit neuf contrôles, puis reçoit une sortie : accepter, clarifier, refuser ou orienter. Avant J+30, le porteur vérifie l'activité auprès du service compétent, décrit ses actes et livrables à l'assureur, puis fait contrôler les conséquences chiffrées et les clauses par les conseils comptable et juridique. Il ferme aussi l'information du consommateur, le contrat à distance, la rétractation et la médiation lorsqu'elles s'appliquent. Le scénario central retient 8 000 euros de besoin mensuel et 80 heures facturables, soit un repère interne de 100 euros par heure avant taxes et frais directs ; trois volumes, deux durées, deux délais d'encaissement et un mois dégradé testent la trésorerie. L'acquisition utilise un seul courriel PREUVE auprès de destinataires admissibles, avec provenance, information et opposition ou consentement tracés. Le cockpit suit acquisition, qualification, capacité, livraison, encaissement et qualité. À J+90, continuer si les demandes dans l'offre progressent sans saturation ; modifier si le livrable reste mal compris ; arrêter si la protection ne ferme pas ou si le segment ne reconnaît pas le besoin.</w:t>
            </w:r>
          </w:p>
        </w:tc>
      </w:tr>
    </w:tbl>
    <w:p>
      <w:pPr>
        <w:spacing w:after="20"/>
      </w:pPr>
    </w:p>
    <w:p>
      <w:r>
        <w:br w:type="page"/>
      </w:r>
    </w:p>
    <w:p>
      <w:pPr>
        <w:pStyle w:val="Heading1"/>
      </w:pPr>
      <w:r>
        <w:t>Contrôle final avant décision</w:t>
      </w:r>
    </w:p>
    <w:tbl>
      <w:tblPr>
        <w:tblStyle w:val="TableGrid"/>
        <w:jc w:val="center"/>
        <w:tblLook w:firstColumn="1" w:firstRow="1" w:lastColumn="0" w:lastRow="0" w:noHBand="0" w:noVBand="1" w:val="04A0"/>
        <w:tblW w:w="9920" w:type="dxa"/>
        <w:tblInd w:w="0" w:type="dxa"/>
        <w:tblLayout w:type="fixed"/>
      </w:tblPr>
      <w:tblGrid>
        <w:gridCol w:w="1700"/>
        <w:gridCol w:w="5669"/>
        <w:gridCol w:w="2551"/>
      </w:tblGrid>
      <w:tr>
        <w:trPr>
          <w:tblHeader w:val="true"/>
        </w:trPr>
        <w:tc>
          <w:tcPr>
            <w:tcW w:type="dxa" w:w="1700"/>
            <w:shd w:fill="173E4E"/>
            <w:tcMar>
              <w:top w:w="100" w:type="dxa"/>
              <w:start w:w="140" w:type="dxa"/>
              <w:bottom w:w="100" w:type="dxa"/>
              <w:end w:w="140" w:type="dxa"/>
            </w:tcMar>
            <w:vAlign w:val="center"/>
          </w:tcPr>
          <w:p>
            <w:pPr>
              <w:spacing w:after="0"/>
              <w:jc w:val="left"/>
            </w:pPr>
            <w:r>
              <w:rPr>
                <w:rFonts w:ascii="Arial" w:hAnsi="Arial"/>
                <w:b/>
                <w:i w:val="0"/>
                <w:color w:val="FFFFFF"/>
                <w:sz w:val="18"/>
              </w:rPr>
              <w:t>Porte</w:t>
            </w:r>
          </w:p>
        </w:tc>
        <w:tc>
          <w:tcPr>
            <w:tcW w:type="dxa" w:w="5669"/>
            <w:shd w:fill="173E4E"/>
            <w:tcMar>
              <w:top w:w="100" w:type="dxa"/>
              <w:start w:w="140" w:type="dxa"/>
              <w:bottom w:w="100" w:type="dxa"/>
              <w:end w:w="140" w:type="dxa"/>
            </w:tcMar>
            <w:vAlign w:val="center"/>
          </w:tcPr>
          <w:p>
            <w:pPr>
              <w:spacing w:after="0"/>
              <w:jc w:val="left"/>
            </w:pPr>
            <w:r>
              <w:rPr>
                <w:rFonts w:ascii="Arial" w:hAnsi="Arial"/>
                <w:b/>
                <w:i w:val="0"/>
                <w:color w:val="FFFFFF"/>
                <w:sz w:val="18"/>
              </w:rPr>
              <w:t>Question</w:t>
            </w:r>
          </w:p>
        </w:tc>
        <w:tc>
          <w:tcPr>
            <w:tcW w:type="dxa" w:w="2551"/>
            <w:shd w:fill="173E4E"/>
            <w:tcMar>
              <w:top w:w="100" w:type="dxa"/>
              <w:start w:w="140" w:type="dxa"/>
              <w:bottom w:w="100" w:type="dxa"/>
              <w:end w:w="140" w:type="dxa"/>
            </w:tcMar>
            <w:vAlign w:val="center"/>
          </w:tcPr>
          <w:p>
            <w:pPr>
              <w:spacing w:after="0"/>
              <w:jc w:val="left"/>
            </w:pPr>
            <w:r>
              <w:rPr>
                <w:rFonts w:ascii="Arial" w:hAnsi="Arial"/>
                <w:b/>
                <w:i w:val="0"/>
                <w:color w:val="FFFFFF"/>
                <w:sz w:val="18"/>
              </w:rPr>
              <w:t>Trace</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Offre</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Cible, décision, livrable, appuis, exclusions et relais sont-ils compris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Carte versionnée</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Qualification</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Les neuf contrôles conduisent-ils à une sortie motivée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Fiche datée</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Cadre</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CHOIX repose-t-il sur des sources et conseils à jour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Matrice et réponses</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Protection</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Chaque contrôle possède-t-il une preuve et un responsable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Bouclier</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Économie</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Volume, durée, coûts, encaissement et mois dégradé restent-ils soutenables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Modèle avec unités</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Acquisition</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Destinataire, provenance, canal, information et choix sont-ils admis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Registre minimal</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Flux</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Le goulot observé déclenche-t-il une action proportionnée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Cockpit</w:t>
            </w:r>
          </w:p>
        </w:tc>
      </w:tr>
      <w:tr>
        <w:tc>
          <w:tcPr>
            <w:tcW w:type="dxa" w:w="1700"/>
            <w:tcMar>
              <w:top w:w="100" w:type="dxa"/>
              <w:start w:w="140" w:type="dxa"/>
              <w:bottom w:w="100" w:type="dxa"/>
              <w:end w:w="140" w:type="dxa"/>
            </w:tcMar>
            <w:vAlign w:val="center"/>
          </w:tcPr>
          <w:p>
            <w:pPr>
              <w:spacing w:after="0"/>
            </w:pPr>
            <w:r>
              <w:rPr>
                <w:rFonts w:ascii="Arial" w:hAnsi="Arial"/>
                <w:b w:val="0"/>
                <w:i w:val="0"/>
                <w:color w:val="242928"/>
                <w:sz w:val="18"/>
              </w:rPr>
              <w:t>90 jours</w:t>
            </w:r>
          </w:p>
        </w:tc>
        <w:tc>
          <w:tcPr>
            <w:tcW w:type="dxa" w:w="5669"/>
            <w:tcMar>
              <w:top w:w="100" w:type="dxa"/>
              <w:start w:w="140" w:type="dxa"/>
              <w:bottom w:w="100" w:type="dxa"/>
              <w:end w:w="140" w:type="dxa"/>
            </w:tcMar>
            <w:vAlign w:val="center"/>
          </w:tcPr>
          <w:p>
            <w:pPr>
              <w:spacing w:after="0"/>
            </w:pPr>
            <w:r>
              <w:rPr>
                <w:rFonts w:ascii="Arial" w:hAnsi="Arial"/>
                <w:b w:val="0"/>
                <w:i w:val="0"/>
                <w:color w:val="242928"/>
                <w:sz w:val="18"/>
              </w:rPr>
              <w:t>Chaque expérience a-t-elle une date et une décision continuer/modifier/arrêter ?</w:t>
            </w:r>
          </w:p>
        </w:tc>
        <w:tc>
          <w:tcPr>
            <w:tcW w:type="dxa" w:w="2551"/>
            <w:tcMar>
              <w:top w:w="100" w:type="dxa"/>
              <w:start w:w="140" w:type="dxa"/>
              <w:bottom w:w="100" w:type="dxa"/>
              <w:end w:w="140" w:type="dxa"/>
            </w:tcMar>
            <w:vAlign w:val="center"/>
          </w:tcPr>
          <w:p>
            <w:pPr>
              <w:spacing w:after="0"/>
            </w:pPr>
            <w:r>
              <w:rPr>
                <w:rFonts w:ascii="Arial" w:hAnsi="Arial"/>
                <w:b w:val="0"/>
                <w:i w:val="0"/>
                <w:color w:val="242928"/>
                <w:sz w:val="18"/>
              </w:rPr>
              <w:t>Plan et journal</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7EEF1"/>
            <w:tcMar>
              <w:top w:w="130" w:type="dxa"/>
              <w:start w:w="170" w:type="dxa"/>
              <w:bottom w:w="130" w:type="dxa"/>
              <w:end w:w="170" w:type="dxa"/>
            </w:tcMar>
            <w:vAlign w:val="center"/>
          </w:tcPr>
          <w:p>
            <w:pPr>
              <w:spacing w:after="0"/>
            </w:pPr>
            <w:r>
              <w:rPr>
                <w:rFonts w:ascii="Arial" w:hAnsi="Arial"/>
                <w:b/>
                <w:i w:val="0"/>
                <w:color w:val="A7552D"/>
                <w:sz w:val="21"/>
              </w:rPr>
              <w:t xml:space="preserve">Durée — </w:t>
            </w:r>
            <w:r>
              <w:rPr>
                <w:rFonts w:ascii="Arial" w:hAnsi="Arial"/>
                <w:b w:val="0"/>
                <w:i w:val="0"/>
                <w:color w:val="242928"/>
                <w:sz w:val="21"/>
              </w:rPr>
              <w:t>Les huit items, leurs retours et la production Q0008 sont déjà inclus dans les 120 minutes obligatoires. Aucune ressource facultative n'est comptée.</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E6662"/>
        <w:sz w:val="16"/>
      </w:rPr>
      <w:t>T-02  |  Créer et développer son activité d'expert  |  0.2.0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A7552D"/>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429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173E4E"/>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A7552D"/>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315C4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E4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T-02 - Corrigé indicatif</dc:title>
  <dc:subject>Créer et développer son activité d'expert</dc:subject>
  <dc:creator>Institut de l'Expertise en Bâtiment</dc:creator>
  <cp:keywords>offre, qualification, cadre, assurance, capacité, prix, acquisition, pilotage</cp:keywords>
  <dc:description>Ressource apprenant - Projet Balise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