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  <w:pBdr>
          <w:bottom w:val="single" w:sz="22" w:space="8" w:color="B8663B"/>
        </w:pBdr>
      </w:pPr>
      <w:r>
        <w:rPr>
          <w:rFonts w:ascii="Calibri" w:hAnsi="Calibri"/>
          <w:b/>
          <w:color w:val="1D2A33"/>
          <w:sz w:val="56"/>
        </w:rPr>
        <w:t>IEB</w:t>
      </w:r>
      <w:r>
        <w:rPr>
          <w:rFonts w:ascii="Calibri" w:hAnsi="Calibri"/>
          <w:b/>
          <w:color w:val="4E5F69"/>
          <w:sz w:val="17"/>
        </w:rPr>
        <w:t xml:space="preserve">   INSTITUT DE L’EXPERTISE EN BÂTIMENT</w:t>
      </w:r>
    </w:p>
    <w:p>
      <w:pPr>
        <w:keepNext w:val="0"/>
        <w:spacing w:before="0" w:after="44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</w:r>
    </w:p>
    <w:p>
      <w:pPr>
        <w:keepNext w:val="0"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B8663B"/>
          <w:sz w:val="19"/>
        </w:rPr>
        <w:t>P-02  /  FICHES PRATIQUES MODIFIABLES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/>
          <w:i w:val="0"/>
          <w:color w:val="1D2A33"/>
          <w:sz w:val="54"/>
        </w:rPr>
        <w:t>P-02 — Relever, classer et transmettre</w:t>
      </w:r>
    </w:p>
    <w:p>
      <w:pPr>
        <w:keepNext w:val="0"/>
        <w:spacing w:before="0" w:after="360" w:line="300" w:lineRule="auto"/>
        <w:jc w:val="left"/>
      </w:pPr>
      <w:r>
        <w:rPr>
          <w:rFonts w:ascii="Calibri" w:hAnsi="Calibri"/>
          <w:b w:val="0"/>
          <w:i w:val="0"/>
          <w:color w:val="4E5F69"/>
          <w:sz w:val="26"/>
        </w:rPr>
        <w:t>Trois matrices de terrain et leurs contrôles de relecture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7692"/>
      </w:tblGrid>
      <w:tr>
        <w:trPr>
          <w:tblHeader w:val="true"/>
        </w:trP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Repère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Valeur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Cours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Pathologies structurelles, fondations et fissures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Version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0.3.1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Fiches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relevé + connu/supposé/manquant + transmission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Format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DOCX modifiable + PDF d’impression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Données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cas synthétique uniquement en formation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pédagogique — </w:t>
      </w:r>
      <w:r>
        <w:rPr>
          <w:rFonts w:ascii="Calibri" w:hAnsi="Calibri"/>
          <w:b w:val="0"/>
          <w:color w:val="1D2A33"/>
          <w:sz w:val="21"/>
        </w:rPr>
        <w:t>Ce support entraîne l’observation, la traçabilité et l’orientation sans produire de diagnostic à distance.</w:t>
      </w:r>
    </w:p>
    <w:p>
      <w:r>
        <w:br w:type="page"/>
      </w:r>
    </w:p>
    <w:p>
      <w:pPr>
        <w:spacing w:before="80" w:after="160" w:line="276" w:lineRule="auto"/>
        <w:ind w:left="160" w:right="160"/>
        <w:shd w:fill="F8E7E5"/>
        <w:pBdr>
          <w:left w:val="single" w:sz="18" w:space="6" w:color="732F2F"/>
        </w:pBdr>
      </w:pPr>
      <w:r>
        <w:rPr>
          <w:rFonts w:ascii="Calibri" w:hAnsi="Calibri"/>
          <w:b/>
          <w:color w:val="732F2F"/>
          <w:sz w:val="21"/>
        </w:rPr>
        <w:t xml:space="preserve">Règle de confidentialité — </w:t>
      </w:r>
      <w:r>
        <w:rPr>
          <w:rFonts w:ascii="Calibri" w:hAnsi="Calibri"/>
          <w:b w:val="0"/>
          <w:color w:val="1D2A33"/>
          <w:sz w:val="21"/>
        </w:rPr>
        <w:t>Pendant la formation, ne saisir aucun nom, adresse, numéro de dossier, référence client, photographie ou fait provenant d’un cas réel.</w:t>
      </w:r>
    </w:p>
    <w:p>
      <w:pPr>
        <w:pStyle w:val="Heading1"/>
      </w:pPr>
      <w:r>
        <w:t>Mode d’emploi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Dupliquer le DOCX avant toute adaptation ; conserver la version source en lecture seule.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Commencer par la fiche 1, puis utiliser la matrice de la fiche 2 avant la transmission.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Laisser visible une information absente ; ne jamais remplir une case par supposition.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Utiliser la fiche 3 seulement après avoir écrit les limites et les questions.</w:t>
      </w:r>
    </w:p>
    <w:p>
      <w:pPr>
        <w:pStyle w:val="ListBullet"/>
      </w:pPr>
      <w:r>
        <w:rPr>
          <w:rFonts w:ascii="Calibri" w:hAnsi="Calibri"/>
          <w:b w:val="0"/>
          <w:color w:val="1D2A33"/>
          <w:sz w:val="22"/>
        </w:rPr>
        <w:t>Le PDF sert à l’impression ; le DOCX reste la version modifiable.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de parcours — </w:t>
      </w:r>
      <w:r>
        <w:rPr>
          <w:rFonts w:ascii="Calibri" w:hAnsi="Calibri"/>
          <w:b w:val="0"/>
          <w:color w:val="1D2A33"/>
          <w:sz w:val="21"/>
        </w:rPr>
        <w:t>Ces fiches reprennent la méthode du cours sous une forme directement modifiable.</w:t>
      </w:r>
    </w:p>
    <w:p>
      <w:r>
        <w:br w:type="page"/>
      </w:r>
    </w:p>
    <w:p>
      <w:pPr>
        <w:pStyle w:val="Heading1"/>
      </w:pPr>
      <w:r>
        <w:t>Fiche 1 — Relevé traçable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600"/>
        <w:gridCol w:w="6492"/>
      </w:tblGrid>
      <w:tr>
        <w:trPr>
          <w:tblHeader w:val="true"/>
        </w:trPr>
        <w:tc>
          <w:tcPr>
            <w:tcW w:type="dxa" w:w="36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Identification</w:t>
            </w:r>
          </w:p>
        </w:tc>
        <w:tc>
          <w:tcPr>
            <w:tcW w:type="dxa" w:w="64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À compléter</w:t>
            </w:r>
          </w:p>
        </w:tc>
      </w:tr>
      <w:tr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Repère pédagogique</w:t>
            </w:r>
          </w:p>
        </w:tc>
        <w:tc>
          <w:tcPr>
            <w:tcW w:type="dxa" w:w="6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br/>
            </w:r>
          </w:p>
        </w:tc>
      </w:tr>
      <w:tr>
        <w:tc>
          <w:tcPr>
            <w:tcW w:type="dxa" w:w="36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Date et conditions d’observation</w:t>
            </w:r>
          </w:p>
        </w:tc>
        <w:tc>
          <w:tcPr>
            <w:tcW w:type="dxa" w:w="6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br/>
            </w:r>
          </w:p>
        </w:tc>
      </w:tr>
      <w:tr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Rôle pédagogique ou mission à vérifier</w:t>
            </w:r>
          </w:p>
        </w:tc>
        <w:tc>
          <w:tcPr>
            <w:tcW w:type="dxa" w:w="6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br/>
            </w:r>
          </w:p>
        </w:tc>
      </w:tr>
      <w:tr>
        <w:tc>
          <w:tcPr>
            <w:tcW w:type="dxa" w:w="36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Ouvrage, support et zone généralisée</w:t>
            </w:r>
          </w:p>
        </w:tc>
        <w:tc>
          <w:tcPr>
            <w:tcW w:type="dxa" w:w="64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br/>
              <w:br/>
            </w:r>
          </w:p>
        </w:tc>
      </w:tr>
      <w:tr>
        <w:tc>
          <w:tcPr>
            <w:tcW w:type="dxa" w:w="36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Pièces disponibles et provenance</w:t>
            </w:r>
          </w:p>
        </w:tc>
        <w:tc>
          <w:tcPr>
            <w:tcW w:type="dxa" w:w="64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br/>
              <w:br/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FEAE5"/>
        <w:pBdr>
          <w:left w:val="single" w:sz="18" w:space="6" w:color="574E48"/>
        </w:pBdr>
      </w:pPr>
      <w:r>
        <w:rPr>
          <w:rFonts w:ascii="Calibri" w:hAnsi="Calibri"/>
          <w:b/>
          <w:color w:val="574E48"/>
          <w:sz w:val="21"/>
        </w:rPr>
        <w:t xml:space="preserve">Confidentialité — </w:t>
      </w:r>
      <w:r>
        <w:rPr>
          <w:rFonts w:ascii="Calibri" w:hAnsi="Calibri"/>
          <w:b w:val="0"/>
          <w:color w:val="1D2A33"/>
          <w:sz w:val="21"/>
        </w:rPr>
        <w:t>Utiliser un repère pédagogique ; ne pas inscrire de donnée réelle dans l’exercice.</w:t>
      </w:r>
    </w:p>
    <w:p>
      <w:r>
        <w:br w:type="page"/>
      </w:r>
    </w:p>
    <w:p>
      <w:pPr>
        <w:pStyle w:val="Heading1"/>
      </w:pPr>
      <w:r>
        <w:t>Fiche 1 — Relevé traçable (suite)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900"/>
        <w:gridCol w:w="6192"/>
      </w:tblGrid>
      <w:tr>
        <w:trPr>
          <w:tblHeader w:val="true"/>
        </w:trPr>
        <w:tc>
          <w:tcPr>
            <w:tcW w:type="dxa" w:w="39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Rubrique</w:t>
            </w:r>
          </w:p>
        </w:tc>
        <w:tc>
          <w:tcPr>
            <w:tcW w:type="dxa" w:w="61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Observation ou limite</w:t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Manifestation visible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  <w:br/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Forme, orientation, continuité et étendue</w:t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  <w:br/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Relation apparente avec ouverture, interface ou matériau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Repère, comparaison et évolution documentée</w:t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Conditions, obstacles et limites du constat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Fiche 2 — Connu, supposé, manquant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364"/>
        <w:gridCol w:w="3364"/>
        <w:gridCol w:w="3364"/>
      </w:tblGrid>
      <w:tr>
        <w:trPr>
          <w:tblHeader w:val="true"/>
        </w:trPr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Connu — source et limite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Supposé — piste temporaire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Manquant — effet sur la conclusion</w:t>
            </w:r>
          </w:p>
        </w:tc>
      </w:tr>
      <w:tr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</w:tr>
      <w:tr>
        <w:tc>
          <w:tcPr>
            <w:tcW w:type="dxa" w:w="3364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</w:tr>
      <w:tr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  <w:br/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Contrôle — </w:t>
      </w:r>
      <w:r>
        <w:rPr>
          <w:rFonts w:ascii="Calibri" w:hAnsi="Calibri"/>
          <w:b w:val="0"/>
          <w:color w:val="1D2A33"/>
          <w:sz w:val="21"/>
        </w:rPr>
        <w:t>Toute information sans source ou dont la qualité n’est pas établie doit rester dans « supposé » ou « manquant ».</w:t>
      </w:r>
    </w:p>
    <w:p>
      <w:r>
        <w:br w:type="page"/>
      </w:r>
    </w:p>
    <w:p>
      <w:pPr>
        <w:pStyle w:val="Heading1"/>
      </w:pPr>
      <w:r>
        <w:t>Fiche 2-bis — Hypothèses et investigations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500"/>
        <w:gridCol w:w="2200"/>
        <w:gridCol w:w="2700"/>
        <w:gridCol w:w="2692"/>
      </w:tblGrid>
      <w:tr>
        <w:trPr>
          <w:tblHeader w:val="true"/>
        </w:trPr>
        <w:tc>
          <w:tcPr>
            <w:tcW w:type="dxa" w:w="25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Hypothèse conditionnelle</w:t>
            </w:r>
          </w:p>
        </w:tc>
        <w:tc>
          <w:tcPr>
            <w:tcW w:type="dxa" w:w="22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Appuis</w:t>
            </w:r>
          </w:p>
        </w:tc>
        <w:tc>
          <w:tcPr>
            <w:tcW w:type="dxa" w:w="27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Limites / contradictions</w:t>
            </w:r>
          </w:p>
        </w:tc>
        <w:tc>
          <w:tcPr>
            <w:tcW w:type="dxa" w:w="26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Information attendue</w:t>
            </w:r>
          </w:p>
        </w:tc>
      </w:tr>
      <w:tr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</w:tr>
      <w:tr>
        <w:tc>
          <w:tcPr>
            <w:tcW w:type="dxa" w:w="2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2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7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</w:tr>
      <w:tr>
        <w:tc>
          <w:tcPr>
            <w:tcW w:type="dxa" w:w="2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2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  <w:tc>
          <w:tcPr>
            <w:tcW w:type="dxa" w:w="2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6"/>
              </w:rPr>
              <w:br/>
              <w:br/>
            </w:r>
          </w:p>
        </w:tc>
      </w:tr>
    </w:tbl>
    <w:p>
      <w:pPr>
        <w:spacing w:after="40"/>
      </w:pP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4000"/>
        <w:gridCol w:w="6092"/>
      </w:tblGrid>
      <w:tr>
        <w:trPr>
          <w:tblHeader w:val="true"/>
        </w:trPr>
        <w:tc>
          <w:tcPr>
            <w:tcW w:type="dxa" w:w="4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Information ou investigation proposée</w:t>
            </w:r>
          </w:p>
        </w:tc>
        <w:tc>
          <w:tcPr>
            <w:tcW w:type="dxa" w:w="60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Cette information permettra de vérifier…</w:t>
            </w:r>
          </w:p>
        </w:tc>
      </w:tr>
      <w:tr>
        <w:tc>
          <w:tcPr>
            <w:tcW w:type="dxa" w:w="4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  <w:tc>
          <w:tcPr>
            <w:tcW w:type="dxa" w:w="6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4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  <w:tc>
          <w:tcPr>
            <w:tcW w:type="dxa" w:w="60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4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  <w:tc>
          <w:tcPr>
            <w:tcW w:type="dxa" w:w="60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Fiche 3 — Transmission prudente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900"/>
        <w:gridCol w:w="6192"/>
      </w:tblGrid>
      <w:tr>
        <w:trPr>
          <w:tblHeader w:val="true"/>
        </w:trPr>
        <w:tc>
          <w:tcPr>
            <w:tcW w:type="dxa" w:w="39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61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Votre formulation</w:t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Manifestation et zone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Évolution ou contexte documenté</w:t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Information manquante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Hypothèse conditionnelle, si utile</w:t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Suite proportionnée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Question à laquelle la suite doit répondre</w:t>
            </w:r>
          </w:p>
        </w:tc>
        <w:tc>
          <w:tcPr>
            <w:tcW w:type="dxa" w:w="61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  <w:tr>
        <w:tc>
          <w:tcPr>
            <w:tcW w:type="dxa" w:w="39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Limite du rôle ou de la conclusion</w:t>
            </w:r>
          </w:p>
        </w:tc>
        <w:tc>
          <w:tcPr>
            <w:tcW w:type="dxa" w:w="61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Fiche 3 — Message final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Trame — </w:t>
      </w:r>
      <w:r>
        <w:rPr>
          <w:rFonts w:ascii="Calibri" w:hAnsi="Calibri"/>
          <w:b w:val="0"/>
          <w:color w:val="1D2A33"/>
          <w:sz w:val="21"/>
        </w:rPr>
        <w:t>Le scénario décrit [manifestation] dans [zone]. Les éléments disponibles ne documentent pas [manque]. Ils permettent d’examiner [hypothèse] sans établir la cause. Il est proposé de [suite] afin de répondre à [question]. Cette orientation reste limitée à [rôle ou mission].</w:t>
      </w:r>
    </w:p>
    <w:p>
      <w:pPr>
        <w:keepNext w:val="0"/>
        <w:spacing w:before="0" w:after="80" w:line="300" w:lineRule="auto"/>
        <w:jc w:val="left"/>
      </w:pPr>
      <w:r>
        <w:rPr>
          <w:rFonts w:ascii="Calibri" w:hAnsi="Calibri"/>
          <w:b/>
          <w:i w:val="0"/>
          <w:color w:val="1D2A33"/>
          <w:sz w:val="22"/>
        </w:rPr>
        <w:t>Votre message — trois à cinq phrases</w:t>
      </w: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p>
      <w:pPr>
        <w:spacing w:after="160"/>
        <w:pBdr>
          <w:bottom w:val="single" w:sz="4" w:color="C9D5DF"/>
        </w:pBdr>
      </w:pP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7000"/>
        <w:gridCol w:w="1500"/>
        <w:gridCol w:w="1592"/>
      </w:tblGrid>
      <w:tr>
        <w:trPr>
          <w:tblHeader w:val="true"/>
        </w:trPr>
        <w:tc>
          <w:tcPr>
            <w:tcW w:type="dxa" w:w="70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Auto-contrôle</w:t>
            </w:r>
          </w:p>
        </w:tc>
        <w:tc>
          <w:tcPr>
            <w:tcW w:type="dxa" w:w="15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5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À reprendre</w:t>
            </w:r>
          </w:p>
        </w:tc>
      </w:tr>
      <w:tr>
        <w:tc>
          <w:tcPr>
            <w:tcW w:type="dxa" w:w="7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Faits et hypothèses séparés</w:t>
            </w:r>
          </w:p>
        </w:tc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7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Information manquante visible</w:t>
            </w:r>
          </w:p>
        </w:tc>
        <w:tc>
          <w:tcPr>
            <w:tcW w:type="dxa" w:w="1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7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Suite reliée à une question</w:t>
            </w:r>
          </w:p>
        </w:tc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7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Orientation compatible avec le rôle</w:t>
            </w:r>
          </w:p>
        </w:tc>
        <w:tc>
          <w:tcPr>
            <w:tcW w:type="dxa" w:w="1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7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Limite ou incertitude explicite</w:t>
            </w:r>
          </w:p>
        </w:tc>
        <w:tc>
          <w:tcPr>
            <w:tcW w:type="dxa" w:w="15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  <w:tr>
        <w:tc>
          <w:tcPr>
            <w:tcW w:type="dxa" w:w="70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Aucun seuil ou détail normatif inventé</w:t>
            </w:r>
          </w:p>
        </w:tc>
        <w:tc>
          <w:tcPr>
            <w:tcW w:type="dxa" w:w="15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  <w:tc>
          <w:tcPr>
            <w:tcW w:type="dxa" w:w="15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☐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final — </w:t>
      </w:r>
      <w:r>
        <w:rPr>
          <w:rFonts w:ascii="Calibri" w:hAnsi="Calibri"/>
          <w:b w:val="0"/>
          <w:color w:val="1D2A33"/>
          <w:sz w:val="21"/>
        </w:rPr>
        <w:t>La transmission conserve les observations, les manques, la question posée et la limite du rôle.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pBdr>
        <w:top w:val="single" w:sz="5" w:space="4" w:color="E8DDD0"/>
      </w:pBdr>
    </w:pPr>
    <w:r>
      <w:rPr>
        <w:rFonts w:ascii="Calibri" w:hAnsi="Calibri"/>
        <w:b w:val="0"/>
        <w:color w:val="4E5F69"/>
        <w:sz w:val="16"/>
      </w:rPr>
      <w:t xml:space="preserve">Formation P-02 •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0" w:space="4" w:color="B8663B"/>
      </w:pBdr>
    </w:pPr>
    <w:r>
      <w:rPr>
        <w:rFonts w:ascii="Calibri" w:hAnsi="Calibri"/>
        <w:b/>
        <w:color w:val="1D2A33"/>
        <w:sz w:val="19"/>
      </w:rPr>
      <w:t>IEB</w:t>
    </w:r>
    <w:r>
      <w:rPr>
        <w:rFonts w:ascii="Calibri" w:hAnsi="Calibri"/>
        <w:b/>
        <w:color w:val="4E5F69"/>
        <w:sz w:val="15"/>
      </w:rPr>
      <w:t xml:space="preserve">   INSTITUT DE L’EXPERTISE EN BÂTIMENT   •   P-02   •   FICHES PRATIQUES MODIFIABLES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D2A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66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66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D2A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Fiches pratiques modifiables L06</dc:title>
  <dc:subject>Compilation L06 du cours maître P-02</dc:subject>
  <dc:creator>python-docx</dc:creator>
  <cp:keywords>IEB, P-02, L06, formation, expertise de terrain</cp:keywords>
  <dc:description>Cours maître canonique : L05 0.2.0. Profil H01 terrain premium 1.0.0.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