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P-01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MÉMO TERRAIN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Le filtre VOIR en trois pages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À emporter en visite • 3 pages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Une méthode commune pour voir, qualifier, raisonner et transmettre sans aller au-delà des preuves.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940000" cy="3960000"/>
            <wp:docPr id="1" name="Picture 1" descr="Le bâtiment comme système : aucune manifestation ne se lit hors de son context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1__batiment-comme-system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Le bâtiment comme système : aucune manifestation ne se lit hors de son contexte.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Principe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Décrire d'abord ce qu'une autre personne pourrait confirmer à partir des mêmes éléments.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VOIR avant de conclure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18"/>
        <w:gridCol w:w="5018"/>
      </w:tblGrid>
      <w:tr>
        <w:trPr>
          <w:tblHeader w:val="true"/>
        </w:trPr>
        <w:tc>
          <w:tcPr>
            <w:tcW w:type="dxa" w:w="170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8220"/>
            <w:shd w:fill="243746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Question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V — Visible</w:t>
            </w:r>
          </w:p>
        </w:tc>
        <w:tc>
          <w:tcPr>
            <w:tcW w:type="dxa" w:w="82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Qu'est-ce qui est observé, mesuré, documenté ou rapporté ?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O — Ouvrage</w:t>
            </w:r>
          </w:p>
        </w:tc>
        <w:tc>
          <w:tcPr>
            <w:tcW w:type="dxa" w:w="82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Où se situe l'indice et quelles interfaces, usages ou expositions l'entourent ?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I — Incertitudes</w:t>
            </w:r>
          </w:p>
        </w:tc>
        <w:tc>
          <w:tcPr>
            <w:tcW w:type="dxa" w:w="82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Quelles hypothèses restent possibles et quelle information manque ?</w:t>
            </w:r>
          </w:p>
        </w:tc>
      </w:tr>
      <w:tr>
        <w:tc>
          <w:tcPr>
            <w:tcW w:type="dxa" w:w="17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R — Relais</w:t>
            </w:r>
          </w:p>
        </w:tc>
        <w:tc>
          <w:tcPr>
            <w:tcW w:type="dxa" w:w="822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0282D"/>
                <w:sz w:val="18"/>
              </w:rPr>
              <w:t>Quelle suite, par quelle compétence et pour éclairer quelle décision ?</w:t>
            </w:r>
          </w:p>
        </w:tc>
      </w:tr>
    </w:tbl>
    <w:p>
      <w:pPr>
        <w:spacing w:after="20"/>
      </w:pPr>
    </w:p>
    <w:p>
      <w:pPr>
        <w:pStyle w:val="Heading2"/>
      </w:pPr>
      <w:r>
        <w:t>Une trace qui résiste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Situer la zone et le support avant de nommer le désordre.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Associer vue générale, vue de localisation et vue de détail.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Donner un statut à chaque information : observation, mesure, déclaration, document ou hypothèse.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Rendre visibles les zones non observées et les documents absents.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Relier toute investigation à une question précise.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Angle mort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photographie qui ne montre pas un indice n'en prouve l'absence que si son cadrage, sa qualité et sa date permettaient réellement de l'observer.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Sécurité, décision et passage de relais</w:t>
      </w:r>
    </w:p>
    <w:p>
      <w:pPr>
        <w:pStyle w:val="Heading2"/>
      </w:pPr>
      <w:r>
        <w:t>Priorités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Protéger les personnes lorsqu'un danger apparent est suspecté.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Préserver et dater les preuves avant que la situation ne change.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Rechercher l'information qui départage les hypothèses importantes.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Organiser une surveillance seulement si la méthode, le responsable et le moment sont définis.</w:t>
      </w:r>
    </w:p>
    <w:p>
      <w:pPr>
        <w:pStyle w:val="ListNumber"/>
      </w:pPr>
      <w:r>
        <w:rPr>
          <w:rFonts w:ascii="Arial" w:hAnsi="Arial"/>
          <w:b w:val="0"/>
          <w:i w:val="0"/>
          <w:color w:val="20282D"/>
          <w:sz w:val="21"/>
        </w:rPr>
        <w:t>Engager entretien ou travaux avec un objectif et un périmètre établis.</w:t>
      </w:r>
    </w:p>
    <w:p>
      <w:pPr>
        <w:pStyle w:val="Heading2"/>
      </w:pPr>
      <w:r>
        <w:t>Message de relais</w:t>
      </w:r>
    </w:p>
    <w:p>
      <w:r>
        <w:rPr>
          <w:rFonts w:ascii="Arial" w:hAnsi="Arial"/>
          <w:b w:val="0"/>
          <w:i w:val="0"/>
          <w:color w:val="20282D"/>
          <w:sz w:val="21"/>
        </w:rPr>
        <w:t>Transmettez la question, les faits, les pièces, les limites, les hypothèses ouvertes, l'enjeu éventuel et le résultat attendu.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Limite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Ce mémo ne remplace ni une visite adaptée, ni une étude ou un diagnostic réglementé, ni l'intervention d'un professionnel compétent.</w:t>
            </w:r>
          </w:p>
        </w:tc>
      </w:tr>
    </w:tbl>
    <w:p>
      <w:pPr>
        <w:spacing w:after="20"/>
      </w:pPr>
    </w:p>
    <w:p>
      <w:pPr>
        <w:pStyle w:val="Heading2"/>
      </w:pPr>
      <w:r>
        <w:t>Sources</w:t>
      </w:r>
    </w:p>
    <w:p>
      <w:r>
        <w:rPr>
          <w:rFonts w:ascii="Arial" w:hAnsi="Arial"/>
          <w:b w:val="0"/>
          <w:i/>
          <w:color w:val="20282D"/>
          <w:sz w:val="21"/>
        </w:rPr>
        <w:t>Méthode reformulée à partir du cours IEB P-01 et des ressources publiques de l'Agence Qualité Construction et du ministère chargé du logement. Cas et illustration : créations fictives IEB.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P-01  •  Introduction à la pathologie du bâtiment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