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pBdr>
          <w:bottom w:val="single" w:sz="22" w:space="8" w:color="B8663B"/>
        </w:pBdr>
      </w:pPr>
      <w:r>
        <w:rPr>
          <w:rFonts w:ascii="Calibri" w:hAnsi="Calibri"/>
          <w:b/>
          <w:color w:val="1D2A33"/>
          <w:sz w:val="56"/>
        </w:rPr>
        <w:t>IEB</w:t>
      </w:r>
      <w:r>
        <w:rPr>
          <w:rFonts w:ascii="Calibri" w:hAnsi="Calibri"/>
          <w:b/>
          <w:color w:val="4E5F69"/>
          <w:sz w:val="17"/>
        </w:rPr>
        <w:t xml:space="preserve">   INSTITUT DE L’EXPERTISE EN BÂTIMENT</w:t>
      </w:r>
    </w:p>
    <w:p>
      <w:pPr>
        <w:keepNext w:val="0"/>
        <w:spacing w:before="0" w:after="680" w:line="300" w:lineRule="auto"/>
        <w:jc w:val="left"/>
      </w:pPr>
      <w:r>
        <w:rPr>
          <w:rFonts w:ascii="Calibri" w:hAnsi="Calibri"/>
          <w:b w:val="0"/>
          <w:i w:val="0"/>
          <w:color w:val="1D2A33"/>
          <w:sz w:val="22"/>
        </w:rPr>
      </w:r>
    </w:p>
    <w:p>
      <w:pPr>
        <w:keepNext w:val="0"/>
        <w:spacing w:before="0" w:after="280" w:line="300" w:lineRule="auto"/>
        <w:jc w:val="center"/>
      </w:pPr>
      <w:r>
        <w:rPr>
          <w:rFonts w:ascii="Calibri" w:hAnsi="Calibri"/>
          <w:b/>
          <w:i w:val="0"/>
          <w:color w:val="B8663B"/>
          <w:sz w:val="19"/>
        </w:rPr>
        <w:t>P-02  /  MÉMO TERRAIN</w:t>
      </w:r>
    </w:p>
    <w:p>
      <w:pPr>
        <w:keepNext w:val="0"/>
        <w:spacing w:before="0" w:after="200" w:line="300" w:lineRule="auto"/>
        <w:jc w:val="center"/>
      </w:pPr>
      <w:r>
        <w:rPr>
          <w:rFonts w:ascii="Calibri" w:hAnsi="Calibri"/>
          <w:b/>
          <w:i w:val="0"/>
          <w:color w:val="1D2A33"/>
          <w:sz w:val="54"/>
        </w:rPr>
        <w:t>Observer sans conclure trop vite</w:t>
      </w:r>
    </w:p>
    <w:p>
      <w:pPr>
        <w:keepNext w:val="0"/>
        <w:spacing w:before="0" w:after="600" w:line="300" w:lineRule="auto"/>
        <w:jc w:val="center"/>
      </w:pPr>
      <w:r>
        <w:rPr>
          <w:rFonts w:ascii="Calibri" w:hAnsi="Calibri"/>
          <w:b w:val="0"/>
          <w:i w:val="0"/>
          <w:color w:val="4E5F69"/>
          <w:sz w:val="28"/>
        </w:rPr>
        <w:t>Le réflexe P-02 en quatre pages : relever, classer et transmettre avec prudence</w:t>
      </w:r>
    </w:p>
    <w:p>
      <w:pPr>
        <w:keepNext w:val="0"/>
        <w:spacing w:before="0" w:after="840" w:line="300" w:lineRule="auto"/>
        <w:jc w:val="center"/>
      </w:pPr>
      <w:r>
        <w:rPr>
          <w:rFonts w:ascii="Calibri" w:hAnsi="Calibri"/>
          <w:b/>
          <w:i w:val="0"/>
          <w:color w:val="B8663B"/>
          <w:sz w:val="18"/>
        </w:rPr>
        <w:t>EXPERTISE DE TERRAIN • OBSERVER • DOCUMENTER • ORIENTER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400"/>
        <w:gridCol w:w="7692"/>
      </w:tblGrid>
      <w:tr>
        <w:trPr>
          <w:tblHeader w:val="true"/>
        </w:trP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Repère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1D2A33"/>
                <w:sz w:val="19"/>
              </w:rPr>
              <w:t>Valeur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Cours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Pathologies structurelles, fondations et fissures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Version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0.3.1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Format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4 pages A4</w:t>
            </w:r>
          </w:p>
        </w:tc>
      </w:tr>
      <w:tr>
        <w:tc>
          <w:tcPr>
            <w:tcW w:type="dxa" w:w="2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Usage</w:t>
            </w:r>
          </w:p>
        </w:tc>
        <w:tc>
          <w:tcPr>
            <w:tcW w:type="dxa" w:w="7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Aide-mémoire pédagogique</w:t>
            </w:r>
          </w:p>
        </w:tc>
      </w:tr>
      <w:tr>
        <w:tc>
          <w:tcPr>
            <w:tcW w:type="dxa" w:w="2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Périmètre</w:t>
            </w:r>
          </w:p>
        </w:tc>
        <w:tc>
          <w:tcPr>
            <w:tcW w:type="dxa" w:w="7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9"/>
              </w:rPr>
              <w:t>Observer, documenter et orienter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Repère pédagogique — </w:t>
      </w:r>
      <w:r>
        <w:rPr>
          <w:rFonts w:ascii="Calibri" w:hAnsi="Calibri"/>
          <w:b w:val="0"/>
          <w:color w:val="1D2A33"/>
          <w:sz w:val="21"/>
        </w:rPr>
        <w:t>Ce support entraîne l’observation, la traçabilité et l’orientation sans produire de diagnostic à distance.</w:t>
      </w:r>
    </w:p>
    <w:p>
      <w:r>
        <w:br w:type="page"/>
      </w:r>
    </w:p>
    <w:p>
      <w:pPr>
        <w:pStyle w:val="Heading1"/>
      </w:pPr>
      <w:r>
        <w:t>1 — Avant toute interprétation</w:t>
      </w: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Réflexe — </w:t>
      </w:r>
      <w:r>
        <w:rPr>
          <w:rFonts w:ascii="Calibri" w:hAnsi="Calibri"/>
          <w:b w:val="0"/>
          <w:color w:val="1D2A33"/>
          <w:sz w:val="21"/>
        </w:rPr>
        <w:t>Une forme observée n’est pas une cause démontrée. Commencer par rendre le relevé vérifiable.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100"/>
        <w:gridCol w:w="6992"/>
      </w:tblGrid>
      <w:tr>
        <w:trPr>
          <w:tblHeader w:val="true"/>
        </w:trPr>
        <w:tc>
          <w:tcPr>
            <w:tcW w:type="dxa" w:w="31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Question</w:t>
            </w:r>
          </w:p>
        </w:tc>
        <w:tc>
          <w:tcPr>
            <w:tcW w:type="dxa" w:w="69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Trace minimale</w:t>
            </w:r>
          </w:p>
        </w:tc>
      </w:tr>
      <w:tr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 élément ?</w:t>
            </w:r>
          </w:p>
        </w:tc>
        <w:tc>
          <w:tcPr>
            <w:tcW w:type="dxa" w:w="6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Dénomination prudente et fonction générale</w:t>
            </w:r>
          </w:p>
        </w:tc>
      </w:tr>
      <w:tr>
        <w:tc>
          <w:tcPr>
            <w:tcW w:type="dxa" w:w="3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Où ?</w:t>
            </w:r>
          </w:p>
        </w:tc>
        <w:tc>
          <w:tcPr>
            <w:tcW w:type="dxa" w:w="6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Zone, niveau, interface ou voisinage</w:t>
            </w:r>
          </w:p>
        </w:tc>
      </w:tr>
      <w:tr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 voit-on ?</w:t>
            </w:r>
          </w:p>
        </w:tc>
        <w:tc>
          <w:tcPr>
            <w:tcW w:type="dxa" w:w="6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Forme, orientation, support, continuité et étendue</w:t>
            </w:r>
          </w:p>
        </w:tc>
      </w:tr>
      <w:tr>
        <w:tc>
          <w:tcPr>
            <w:tcW w:type="dxa" w:w="3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Dans quelles conditions ?</w:t>
            </w:r>
          </w:p>
        </w:tc>
        <w:tc>
          <w:tcPr>
            <w:tcW w:type="dxa" w:w="6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Date, accès, éclairage, obstacles et limites</w:t>
            </w:r>
          </w:p>
        </w:tc>
      </w:tr>
      <w:tr>
        <w:tc>
          <w:tcPr>
            <w:tcW w:type="dxa" w:w="3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Quelles pièces ?</w:t>
            </w:r>
          </w:p>
        </w:tc>
        <w:tc>
          <w:tcPr>
            <w:tcW w:type="dxa" w:w="6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Plans, historique, études, relevés ou absence</w:t>
            </w:r>
          </w:p>
        </w:tc>
      </w:tr>
      <w:tr>
        <w:tc>
          <w:tcPr>
            <w:tcW w:type="dxa" w:w="3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 manque-t-il ?</w:t>
            </w:r>
          </w:p>
        </w:tc>
        <w:tc>
          <w:tcPr>
            <w:tcW w:type="dxa" w:w="6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Question précise, jamais donnée inventée</w:t>
            </w:r>
          </w:p>
        </w:tc>
      </w:tr>
    </w:tbl>
    <w:p>
      <w:pPr>
        <w:spacing w:after="40"/>
      </w:pPr>
    </w:p>
    <w:p>
      <w:pPr>
        <w:pStyle w:val="Heading2"/>
      </w:pPr>
      <w:r>
        <w:t>Les cinq questions de contrôle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Qu’est-ce qui est réellement disponible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 est la qualité de cette information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Qu’est-ce qui manque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Quelles explications restent possibles ?</w:t>
      </w:r>
    </w:p>
    <w:p>
      <w:pPr>
        <w:pStyle w:val="ListNumber"/>
      </w:pPr>
      <w:r>
        <w:rPr>
          <w:rFonts w:ascii="Calibri" w:hAnsi="Calibri"/>
          <w:b w:val="0"/>
          <w:color w:val="1D2A33"/>
          <w:sz w:val="22"/>
        </w:rPr>
        <w:t>Quelle suite est proportionnée à mon rôle et à mon niveau de certitude ?</w:t>
      </w:r>
    </w:p>
    <w:p>
      <w:pPr>
        <w:spacing w:before="80" w:after="160" w:line="276" w:lineRule="auto"/>
        <w:ind w:left="160" w:right="160"/>
        <w:shd w:fill="F8E7E5"/>
        <w:pBdr>
          <w:left w:val="single" w:sz="18" w:space="6" w:color="732F2F"/>
        </w:pBdr>
      </w:pPr>
      <w:r>
        <w:rPr>
          <w:rFonts w:ascii="Calibri" w:hAnsi="Calibri"/>
          <w:b/>
          <w:color w:val="732F2F"/>
          <w:sz w:val="21"/>
        </w:rPr>
        <w:t xml:space="preserve">Limite — </w:t>
      </w:r>
      <w:r>
        <w:rPr>
          <w:rFonts w:ascii="Calibri" w:hAnsi="Calibri"/>
          <w:b w:val="0"/>
          <w:color w:val="1D2A33"/>
          <w:sz w:val="21"/>
        </w:rPr>
        <w:t>Aucun seuil chiffré universel de gravité ou d’urgence n’est fourni par ce mémo.</w:t>
      </w:r>
    </w:p>
    <w:p>
      <w:r>
        <w:br w:type="page"/>
      </w:r>
    </w:p>
    <w:p>
      <w:pPr>
        <w:pStyle w:val="Heading1"/>
      </w:pPr>
      <w:r>
        <w:t>2 — Classer : connu, supposé, manquant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364"/>
        <w:gridCol w:w="3364"/>
        <w:gridCol w:w="3364"/>
      </w:tblGrid>
      <w:tr>
        <w:trPr>
          <w:tblHeader w:val="true"/>
        </w:trPr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Connu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Supposé</w:t>
            </w:r>
          </w:p>
        </w:tc>
        <w:tc>
          <w:tcPr>
            <w:tcW w:type="dxa" w:w="3364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7"/>
              </w:rPr>
              <w:t>Manquant</w:t>
            </w:r>
          </w:p>
        </w:tc>
      </w:tr>
      <w:tr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Information disponible, avec sa source et ses limites</w:t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Piste temporaire à ne pas présenter comme un fait</w:t>
            </w:r>
          </w:p>
        </w:tc>
        <w:tc>
          <w:tcPr>
            <w:tcW w:type="dxa" w:w="3364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7"/>
              </w:rPr>
              <w:t>Information utile dont l’absence limite la conclusion</w:t>
            </w:r>
          </w:p>
        </w:tc>
      </w:tr>
    </w:tbl>
    <w:p>
      <w:pPr>
        <w:spacing w:after="40"/>
      </w:pPr>
    </w:p>
    <w:p>
      <w:pPr>
        <w:pStyle w:val="Heading2"/>
      </w:pPr>
      <w:r>
        <w:t>Maintenir plusieurs hypothèses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3400"/>
        <w:gridCol w:w="6692"/>
      </w:tblGrid>
      <w:tr>
        <w:trPr>
          <w:tblHeader w:val="true"/>
        </w:trPr>
        <w:tc>
          <w:tcPr>
            <w:tcW w:type="dxa" w:w="34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Pour chaque hypothèse</w:t>
            </w:r>
          </w:p>
        </w:tc>
        <w:tc>
          <w:tcPr>
            <w:tcW w:type="dxa" w:w="66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Question à écrire</w:t>
            </w:r>
          </w:p>
        </w:tc>
      </w:tr>
      <w:tr>
        <w:tc>
          <w:tcPr>
            <w:tcW w:type="dxa" w:w="3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Éléments favorables</w:t>
            </w:r>
          </w:p>
        </w:tc>
        <w:tc>
          <w:tcPr>
            <w:tcW w:type="dxa" w:w="6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Qu’est-ce qui soutient réellement cette piste ?</w:t>
            </w:r>
          </w:p>
        </w:tc>
      </w:tr>
      <w:tr>
        <w:tc>
          <w:tcPr>
            <w:tcW w:type="dxa" w:w="3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Limites ou contradictions</w:t>
            </w:r>
          </w:p>
        </w:tc>
        <w:tc>
          <w:tcPr>
            <w:tcW w:type="dxa" w:w="6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Qu’est-ce qui la fragilise ou reste absent ?</w:t>
            </w:r>
          </w:p>
        </w:tc>
      </w:tr>
      <w:tr>
        <w:tc>
          <w:tcPr>
            <w:tcW w:type="dxa" w:w="34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Information attendue</w:t>
            </w:r>
          </w:p>
        </w:tc>
        <w:tc>
          <w:tcPr>
            <w:tcW w:type="dxa" w:w="66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Quelle donnée permettrait de l’éprouver ?</w:t>
            </w:r>
          </w:p>
        </w:tc>
      </w:tr>
      <w:tr>
        <w:tc>
          <w:tcPr>
            <w:tcW w:type="dxa" w:w="34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Confiance</w:t>
            </w:r>
          </w:p>
        </w:tc>
        <w:tc>
          <w:tcPr>
            <w:tcW w:type="dxa" w:w="66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Quel degré de prudence la preuve disponible impose-t-elle ?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Test utile — </w:t>
      </w:r>
      <w:r>
        <w:rPr>
          <w:rFonts w:ascii="Calibri" w:hAnsi="Calibri"/>
          <w:b w:val="0"/>
          <w:color w:val="1D2A33"/>
          <w:sz w:val="21"/>
        </w:rPr>
        <w:t>Toute investigation proposée doit compléter la phrase : « cette information permettra de vérifier… ».</w:t>
      </w:r>
    </w:p>
    <w:p>
      <w:pPr>
        <w:spacing w:before="80" w:after="160" w:line="276" w:lineRule="auto"/>
        <w:ind w:left="160" w:right="160"/>
        <w:shd w:fill="F8E7E5"/>
        <w:pBdr>
          <w:left w:val="single" w:sz="18" w:space="6" w:color="732F2F"/>
        </w:pBdr>
      </w:pPr>
      <w:r>
        <w:rPr>
          <w:rFonts w:ascii="Calibri" w:hAnsi="Calibri"/>
          <w:b/>
          <w:color w:val="732F2F"/>
          <w:sz w:val="21"/>
        </w:rPr>
        <w:t xml:space="preserve">Interdit — </w:t>
      </w:r>
      <w:r>
        <w:rPr>
          <w:rFonts w:ascii="Calibri" w:hAnsi="Calibri"/>
          <w:b w:val="0"/>
          <w:color w:val="1D2A33"/>
          <w:sz w:val="21"/>
        </w:rPr>
        <w:t>Ne pas transformer une lacune, une forme ou une évolution rapportée en preuve suffisante de causalité.</w:t>
      </w:r>
    </w:p>
    <w:p>
      <w:r>
        <w:br w:type="page"/>
      </w:r>
    </w:p>
    <w:p>
      <w:pPr>
        <w:pStyle w:val="Heading1"/>
      </w:pPr>
      <w:r>
        <w:t>3 — Transmettre avec prudence</w:t>
      </w:r>
    </w:p>
    <w:p>
      <w:pPr>
        <w:spacing w:before="80" w:after="160" w:line="276" w:lineRule="auto"/>
        <w:ind w:left="160" w:right="160"/>
        <w:shd w:fill="EAF0E6"/>
        <w:pBdr>
          <w:left w:val="single" w:sz="18" w:space="6" w:color="3E563D"/>
        </w:pBdr>
      </w:pPr>
      <w:r>
        <w:rPr>
          <w:rFonts w:ascii="Calibri" w:hAnsi="Calibri"/>
          <w:b/>
          <w:color w:val="3E563D"/>
          <w:sz w:val="21"/>
        </w:rPr>
        <w:t xml:space="preserve">Modèle — </w:t>
      </w:r>
      <w:r>
        <w:rPr>
          <w:rFonts w:ascii="Calibri" w:hAnsi="Calibri"/>
          <w:b w:val="0"/>
          <w:color w:val="1D2A33"/>
          <w:sz w:val="21"/>
        </w:rPr>
        <w:t>Le scénario décrit [manifestation] dans [zone généralisée] et mentionne [évolution]. Les éléments disponibles ne documentent pas [information manquante]. Ils permettent d’examiner [hypothèse conditionnelle] sans établir la cause. Il est proposé de [suite proportionnée] afin de répondre à [question]. Cette orientation reste limitée au rôle de [public choisi].</w:t>
      </w:r>
    </w:p>
    <w:p>
      <w:pPr>
        <w:pStyle w:val="Heading2"/>
      </w:pPr>
      <w:r>
        <w:t>Contrôle en six verbes</w:t>
      </w:r>
    </w:p>
    <w:tbl>
      <w:tblPr>
        <w:tblW w:type="dxa" w:w="10092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E8DDD0"/>
          <w:left w:val="single" w:sz="6" w:color="E8DDD0"/>
          <w:bottom w:val="single" w:sz="6" w:color="E8DDD0"/>
          <w:right w:val="single" w:sz="6" w:color="E8DDD0"/>
          <w:insideH w:val="single" w:sz="6" w:color="E8DDD0"/>
          <w:insideV w:val="single" w:sz="6" w:color="E8DDD0"/>
        </w:tblBorders>
      </w:tblPr>
      <w:tblGrid>
        <w:gridCol w:w="2100"/>
        <w:gridCol w:w="7992"/>
      </w:tblGrid>
      <w:tr>
        <w:trPr>
          <w:tblHeader w:val="true"/>
        </w:trPr>
        <w:tc>
          <w:tcPr>
            <w:tcW w:type="dxa" w:w="2100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Verbe</w:t>
            </w:r>
          </w:p>
        </w:tc>
        <w:tc>
          <w:tcPr>
            <w:tcW w:type="dxa" w:w="7992"/>
            <w:shd w:fill="1D2A33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color w:val="FFFFFF"/>
                <w:sz w:val="18"/>
              </w:rPr>
              <w:t>Question de relecture</w:t>
            </w:r>
          </w:p>
        </w:tc>
      </w:tr>
      <w:tr>
        <w:tc>
          <w:tcPr>
            <w:tcW w:type="dxa" w:w="2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Observer</w:t>
            </w:r>
          </w:p>
        </w:tc>
        <w:tc>
          <w:tcPr>
            <w:tcW w:type="dxa" w:w="7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Ai-je complété ce qui manque ?</w:t>
            </w:r>
          </w:p>
        </w:tc>
      </w:tr>
      <w:tr>
        <w:tc>
          <w:tcPr>
            <w:tcW w:type="dxa" w:w="2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Décrire</w:t>
            </w:r>
          </w:p>
        </w:tc>
        <w:tc>
          <w:tcPr>
            <w:tcW w:type="dxa" w:w="7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Mes termes sont-ils compréhensibles et localisés ?</w:t>
            </w:r>
          </w:p>
        </w:tc>
      </w:tr>
      <w:tr>
        <w:tc>
          <w:tcPr>
            <w:tcW w:type="dxa" w:w="2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Classer</w:t>
            </w:r>
          </w:p>
        </w:tc>
        <w:tc>
          <w:tcPr>
            <w:tcW w:type="dxa" w:w="7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Les faits et hypothèses sont-ils séparés ?</w:t>
            </w:r>
          </w:p>
        </w:tc>
      </w:tr>
      <w:tr>
        <w:tc>
          <w:tcPr>
            <w:tcW w:type="dxa" w:w="2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Documenter</w:t>
            </w:r>
          </w:p>
        </w:tc>
        <w:tc>
          <w:tcPr>
            <w:tcW w:type="dxa" w:w="7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Les lacunes et les sources sont-elles visibles ?</w:t>
            </w:r>
          </w:p>
        </w:tc>
      </w:tr>
      <w:tr>
        <w:tc>
          <w:tcPr>
            <w:tcW w:type="dxa" w:w="2100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Orienter</w:t>
            </w:r>
          </w:p>
        </w:tc>
        <w:tc>
          <w:tcPr>
            <w:tcW w:type="dxa" w:w="7992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La suite répond-elle à une question et à mon rôle ?</w:t>
            </w:r>
          </w:p>
        </w:tc>
      </w:tr>
      <w:tr>
        <w:tc>
          <w:tcPr>
            <w:tcW w:type="dxa" w:w="2100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Transmettre</w:t>
            </w:r>
          </w:p>
        </w:tc>
        <w:tc>
          <w:tcPr>
            <w:tcW w:type="dxa" w:w="7992"/>
            <w:shd w:fill="F6F2EC"/>
            <w:tcMar>
              <w:top w:w="90" w:type="dxa"/>
              <w:bottom w:w="90" w:type="dxa"/>
              <w:start w:w="120" w:type="dxa"/>
              <w:end w:w="120" w:type="dxa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Calibri" w:hAnsi="Calibri"/>
                <w:b w:val="0"/>
                <w:color w:val="1D2A33"/>
                <w:sz w:val="18"/>
              </w:rPr>
              <w:t>Ai-je évité de déguiser une hypothèse en diagnostic ?</w:t>
            </w:r>
          </w:p>
        </w:tc>
      </w:tr>
    </w:tbl>
    <w:p>
      <w:pPr>
        <w:spacing w:after="40"/>
      </w:pPr>
    </w:p>
    <w:p>
      <w:pPr>
        <w:spacing w:before="80" w:after="160" w:line="276" w:lineRule="auto"/>
        <w:ind w:left="160" w:right="160"/>
        <w:shd w:fill="E8F0F2"/>
        <w:pBdr>
          <w:left w:val="single" w:sz="18" w:space="6" w:color="244E59"/>
        </w:pBdr>
      </w:pPr>
      <w:r>
        <w:rPr>
          <w:rFonts w:ascii="Calibri" w:hAnsi="Calibri"/>
          <w:b/>
          <w:color w:val="244E59"/>
          <w:sz w:val="21"/>
        </w:rPr>
        <w:t xml:space="preserve">Repère de parcours — </w:t>
      </w:r>
      <w:r>
        <w:rPr>
          <w:rFonts w:ascii="Calibri" w:hAnsi="Calibri"/>
          <w:b w:val="0"/>
          <w:color w:val="1D2A33"/>
          <w:sz w:val="21"/>
        </w:rPr>
        <w:t>Ce mémo reprend les réflexes essentiels du cours. Toute adaptation à une situation réelle tient compte de la mission concernée.</w:t>
      </w:r>
    </w:p>
    <w:p>
      <w:pPr>
        <w:spacing w:before="80" w:after="160" w:line="276" w:lineRule="auto"/>
        <w:ind w:left="160" w:right="160"/>
        <w:shd w:fill="F6EBDD"/>
        <w:pBdr>
          <w:left w:val="single" w:sz="18" w:space="6" w:color="75491F"/>
        </w:pBdr>
      </w:pPr>
      <w:r>
        <w:rPr>
          <w:rFonts w:ascii="Calibri" w:hAnsi="Calibri"/>
          <w:b/>
          <w:color w:val="75491F"/>
          <w:sz w:val="21"/>
        </w:rPr>
        <w:t xml:space="preserve">Limite — </w:t>
      </w:r>
      <w:r>
        <w:rPr>
          <w:rFonts w:ascii="Calibri" w:hAnsi="Calibri"/>
          <w:b w:val="0"/>
          <w:color w:val="1D2A33"/>
          <w:sz w:val="21"/>
        </w:rPr>
        <w:t>Ce mémo ne permet pas de conclure à distance ni d’associer automatiquement une forme à une cause.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454" w:footer="454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pBdr>
        <w:top w:val="single" w:sz="5" w:space="4" w:color="E8DDD0"/>
      </w:pBdr>
    </w:pPr>
    <w:r>
      <w:rPr>
        <w:rFonts w:ascii="Calibri" w:hAnsi="Calibri"/>
        <w:b w:val="0"/>
        <w:color w:val="4E5F69"/>
        <w:sz w:val="16"/>
      </w:rPr>
      <w:t xml:space="preserve">Formation P-02 • page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10" w:space="4" w:color="B8663B"/>
      </w:pBdr>
    </w:pPr>
    <w:r>
      <w:rPr>
        <w:rFonts w:ascii="Calibri" w:hAnsi="Calibri"/>
        <w:b/>
        <w:color w:val="1D2A33"/>
        <w:sz w:val="19"/>
      </w:rPr>
      <w:t>IEB</w:t>
    </w:r>
    <w:r>
      <w:rPr>
        <w:rFonts w:ascii="Calibri" w:hAnsi="Calibri"/>
        <w:b/>
        <w:color w:val="4E5F69"/>
        <w:sz w:val="15"/>
      </w:rPr>
      <w:t xml:space="preserve">   INSTITUT DE L’EXPERTISE EN BÂTIMENT   •   P-02   •   MÉMO TERRAIN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D2A33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866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8663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D2A33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Mémo terrain L06</dc:title>
  <dc:subject>Compilation L06 du cours maître P-02</dc:subject>
  <dc:creator>python-docx</dc:creator>
  <cp:keywords>IEB, P-02, L06, formation, expertise de terrain</cp:keywords>
  <dc:description>Cours maître canonique : L05 0.2.0. Profil H01 terrain premium 1.0.0.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