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</w:pPr>
      <w:r>
        <w:rPr>
          <w:rFonts w:ascii="Arial" w:hAnsi="Arial"/>
          <w:b/>
          <w:i w:val="0"/>
          <w:color w:val="994A28"/>
          <w:sz w:val="18"/>
        </w:rPr>
        <w:t>P-03  •  PARCOURS OPÉRATIONNEL</w:t>
      </w:r>
    </w:p>
    <w:p>
      <w:pPr>
        <w:pStyle w:val="Title"/>
      </w:pPr>
      <w:r>
        <w:rPr>
          <w:rFonts w:ascii="Arial" w:hAnsi="Arial"/>
          <w:b/>
          <w:i w:val="0"/>
          <w:color w:val="243746"/>
          <w:sz w:val="52"/>
        </w:rPr>
        <w:t>MÉMO TERRAIN</w:t>
      </w:r>
    </w:p>
    <w:p>
      <w:pPr>
        <w:spacing w:after="280"/>
      </w:pPr>
      <w:r>
        <w:rPr>
          <w:rFonts w:ascii="Arial" w:hAnsi="Arial"/>
          <w:b/>
          <w:i w:val="0"/>
          <w:color w:val="637565"/>
          <w:sz w:val="26"/>
        </w:rPr>
        <w:t>Le repère EAU en trois pages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AF0F3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Format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À emporter en visite • 3 pages</w:t>
            </w:r>
          </w:p>
        </w:tc>
      </w:tr>
    </w:tbl>
    <w:p>
      <w:pPr>
        <w:spacing w:after="20"/>
      </w:pPr>
    </w:p>
    <w:p>
      <w:pPr>
        <w:spacing w:before="120"/>
      </w:pPr>
      <w:r>
        <w:rPr>
          <w:rFonts w:ascii="Arial" w:hAnsi="Arial"/>
          <w:b w:val="0"/>
          <w:i/>
          <w:color w:val="20282D"/>
          <w:sz w:val="23"/>
        </w:rPr>
        <w:t>Distinguer la trace, l'apport, le trajet et le mécanisme, puis choisir l'information qui change la décision.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0000" cy="3960000"/>
            <wp:docPr id="1" name="Picture 1" descr="Quatre trajets hypothétiques : la trace visible ne localise pas automatiquement l'origine de l'eau." title="Illustration originale IE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eb-asset-p03-000001__carte-chemins-eau__v0.1.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5D686E"/>
          <w:sz w:val="17"/>
        </w:rPr>
        <w:t>Quatre trajets hypothétiques : la trace visible ne localise pas automatiquement l'origine de l'eau.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Principe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Distinguer la trace, l'apport, le trajet et le mécanisme, puis choisir l'information qui change la décision.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Le repère EAU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</w:trPr>
        <w:tc>
          <w:tcPr>
            <w:tcW w:type="dxa" w:w="1927"/>
            <w:shd w:fill="243746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Repère</w:t>
            </w:r>
          </w:p>
        </w:tc>
        <w:tc>
          <w:tcPr>
            <w:tcW w:type="dxa" w:w="7993"/>
            <w:shd w:fill="243746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Question</w:t>
            </w:r>
          </w:p>
        </w:tc>
      </w:tr>
      <w:tr>
        <w:tc>
          <w:tcPr>
            <w:tcW w:type="dxa" w:w="1927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E — Établir</w:t>
            </w:r>
          </w:p>
        </w:tc>
        <w:tc>
          <w:tcPr>
            <w:tcW w:type="dxa" w:w="7993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Qu'est-ce qui est observé, rapporté, mesuré ou documenté ?</w:t>
            </w:r>
          </w:p>
        </w:tc>
      </w:tr>
      <w:tr>
        <w:tc>
          <w:tcPr>
            <w:tcW w:type="dxa" w:w="1927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A — Alternatives</w:t>
            </w:r>
          </w:p>
        </w:tc>
        <w:tc>
          <w:tcPr>
            <w:tcW w:type="dxa" w:w="7993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Quels apports, trajets et mécanismes restent plausibles ?</w:t>
            </w:r>
          </w:p>
        </w:tc>
      </w:tr>
      <w:tr>
        <w:tc>
          <w:tcPr>
            <w:tcW w:type="dxa" w:w="1927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U — Utile ensuite</w:t>
            </w:r>
          </w:p>
        </w:tc>
        <w:tc>
          <w:tcPr>
            <w:tcW w:type="dxa" w:w="7993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0282D"/>
                <w:sz w:val="18"/>
              </w:rPr>
              <w:t>Quelle information, quelle compétence et quelle décision sont attendues ?</w:t>
            </w:r>
          </w:p>
        </w:tc>
      </w:tr>
    </w:tbl>
    <w:p>
      <w:pPr>
        <w:spacing w:after="20"/>
      </w:pPr>
    </w:p>
    <w:p>
      <w:pPr>
        <w:pStyle w:val="Heading2"/>
      </w:pPr>
      <w:r>
        <w:t>Une trace qui résiste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Nommer séparément la manifestation, l'apport supposé, le trajet supposé et le mécanisme.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Situer la zone visible dans le bâtiment, les interfaces, les réseaux et l'exposition.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Conserver au moins une hypothèse concurrente tant que les pièces ne départagent pas les mécanismes.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Documenter date, conditions, position, méthode et limites de toute mesure.</w:t>
      </w:r>
    </w:p>
    <w:p>
      <w:pPr>
        <w:pStyle w:val="ListBullet"/>
      </w:pPr>
      <w:r>
        <w:rPr>
          <w:rFonts w:ascii="Arial" w:hAnsi="Arial"/>
          <w:b w:val="0"/>
          <w:i w:val="0"/>
          <w:color w:val="20282D"/>
          <w:sz w:val="21"/>
        </w:rPr>
        <w:t>Relier chaque investigation à une question et à une décision attendue.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EEF1EF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Angle mort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La proximité entre une trace et une baie, un réseau ou une paroi enterrée n'est pas une preuve du point d'entrée ni du trajet.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Sécurité, décision et passage de relais</w:t>
      </w:r>
    </w:p>
    <w:p>
      <w:pPr>
        <w:pStyle w:val="Heading2"/>
      </w:pPr>
      <w:r>
        <w:t>Priorités</w:t>
      </w:r>
    </w:p>
    <w:p>
      <w:pPr>
        <w:pStyle w:val="ListNumber"/>
      </w:pPr>
      <w:r>
        <w:rPr>
          <w:rFonts w:ascii="Arial" w:hAnsi="Arial"/>
          <w:b w:val="0"/>
          <w:i w:val="0"/>
          <w:color w:val="20282D"/>
          <w:sz w:val="21"/>
        </w:rPr>
        <w:t>Protéger les personnes lorsqu'un danger apparent existe.</w:t>
      </w:r>
    </w:p>
    <w:p>
      <w:pPr>
        <w:pStyle w:val="ListNumber"/>
      </w:pPr>
      <w:r>
        <w:rPr>
          <w:rFonts w:ascii="Arial" w:hAnsi="Arial"/>
          <w:b w:val="0"/>
          <w:i w:val="0"/>
          <w:color w:val="20282D"/>
          <w:sz w:val="21"/>
        </w:rPr>
        <w:t>Conserver l'état et les pièces avant toute intervention susceptible de masquer un indice.</w:t>
      </w:r>
    </w:p>
    <w:p>
      <w:pPr>
        <w:pStyle w:val="ListNumber"/>
      </w:pPr>
      <w:r>
        <w:rPr>
          <w:rFonts w:ascii="Arial" w:hAnsi="Arial"/>
          <w:b w:val="0"/>
          <w:i w:val="0"/>
          <w:color w:val="20282D"/>
          <w:sz w:val="21"/>
        </w:rPr>
        <w:t>Compléter la chronologie et les conditions d'apparition.</w:t>
      </w:r>
    </w:p>
    <w:p>
      <w:pPr>
        <w:pStyle w:val="ListNumber"/>
      </w:pPr>
      <w:r>
        <w:rPr>
          <w:rFonts w:ascii="Arial" w:hAnsi="Arial"/>
          <w:b w:val="0"/>
          <w:i w:val="0"/>
          <w:color w:val="20282D"/>
          <w:sz w:val="21"/>
        </w:rPr>
        <w:t>Choisir l'observation ou l'investigation qui départage les hypothèses importantes.</w:t>
      </w:r>
    </w:p>
    <w:p>
      <w:pPr>
        <w:pStyle w:val="ListNumber"/>
      </w:pPr>
      <w:r>
        <w:rPr>
          <w:rFonts w:ascii="Arial" w:hAnsi="Arial"/>
          <w:b w:val="0"/>
          <w:i w:val="0"/>
          <w:color w:val="20282D"/>
          <w:sz w:val="21"/>
        </w:rPr>
        <w:t>Définir l'objectif, la compétence et la trace attendue avant une action sur l'ouvrage.</w:t>
      </w:r>
    </w:p>
    <w:p>
      <w:pPr>
        <w:pStyle w:val="Heading2"/>
      </w:pPr>
      <w:r>
        <w:t>Message de relais</w:t>
      </w:r>
    </w:p>
    <w:p>
      <w:r>
        <w:rPr>
          <w:rFonts w:ascii="Arial" w:hAnsi="Arial"/>
          <w:b w:val="0"/>
          <w:i w:val="0"/>
          <w:color w:val="20282D"/>
          <w:sz w:val="21"/>
        </w:rPr>
        <w:t>Transmettez la zone, les circonstances, les faits, deux hypothèses, la limite d'accès, la question confiée et le résultat attendu.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blHeader w:val="true"/>
        </w:trPr>
        <w:tc>
          <w:tcPr>
            <w:tcW w:type="dxa" w:w="9921"/>
            <w:shd w:fill="F7F3EA"/>
            <w:tcMar>
              <w:top w:w="130" w:type="dxa"/>
              <w:start w:w="170" w:type="dxa"/>
              <w:bottom w:w="130" w:type="dxa"/>
              <w:end w:w="17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994A28"/>
                <w:sz w:val="21"/>
              </w:rPr>
              <w:t xml:space="preserve">Limite — </w:t>
            </w:r>
            <w:r>
              <w:rPr>
                <w:rFonts w:ascii="Arial" w:hAnsi="Arial"/>
                <w:b w:val="0"/>
                <w:i w:val="0"/>
                <w:color w:val="20282D"/>
                <w:sz w:val="21"/>
              </w:rPr>
              <w:t>Ce mémo ne remplace ni une visite adaptée, ni une étude, une auscultation ou l'intervention d'un professionnel compétent.</w:t>
            </w:r>
          </w:p>
        </w:tc>
      </w:tr>
    </w:tbl>
    <w:p>
      <w:pPr>
        <w:spacing w:after="20"/>
      </w:pPr>
    </w:p>
    <w:p>
      <w:pPr>
        <w:pStyle w:val="Heading2"/>
      </w:pPr>
      <w:r>
        <w:t>Sources</w:t>
      </w:r>
    </w:p>
    <w:p>
      <w:r>
        <w:rPr>
          <w:rFonts w:ascii="Arial" w:hAnsi="Arial"/>
          <w:b w:val="0"/>
          <w:i/>
          <w:color w:val="20282D"/>
          <w:sz w:val="21"/>
        </w:rPr>
        <w:t>Contenus techniques reformulés à partir du cours maître et des sources publiques citées. Cas et illustration : créations fictives originales IEB.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79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686E"/>
        <w:sz w:val="16"/>
      </w:rPr>
      <w:t>P-03  •  Étanchéité, humidité et infiltrations  •  0.1.0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</w:pPr>
    <w:r>
      <w:rPr>
        <w:rFonts w:ascii="Arial" w:hAnsi="Arial"/>
        <w:b/>
        <w:i w:val="0"/>
        <w:color w:val="994A28"/>
        <w:sz w:val="17"/>
      </w:rPr>
      <w:t>INSTITUT DE L'EXPERTISE EN BÂTIMENT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Arial" w:hAnsi="Arial"/>
      <w:color w:val="20282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24374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994A2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63756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4374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8" w:lineRule="auto"/>
      <w:ind w:left="397" w:hanging="198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