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P-04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MÉMO TERRAIN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Le repère TEMPS en trois pages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À emporter en visite • 3 pages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Décrire un état, qualifier une évolution, borner les mécanismes possibles et savoir quand l'observation doit céder la place à l'investigation.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0000" cy="3960000"/>
            <wp:docPr id="1" name="Picture 1" descr="Trois états comparables : décrire les changements sans extrapoler leur cause ou leur conséquenc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2__chronologie-matier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Trois états comparables : décrire les changements sans extrapoler leur cause ou leur conséquence.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Principe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Décrire un état, qualifier une évolution, borner les mécanismes possibles et savoir quand l'observation doit céder la place à l'investigation.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Le repère TEMPS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blHeader w:val="true"/>
        </w:trPr>
        <w:tc>
          <w:tcPr>
            <w:tcW w:type="dxa" w:w="192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993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T — Tracer</w:t>
            </w:r>
          </w:p>
        </w:tc>
        <w:tc>
          <w:tcPr>
            <w:tcW w:type="dxa" w:w="79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Quel matériau, quelle zone, quelle date et quelles conditions ?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E — État</w:t>
            </w:r>
          </w:p>
        </w:tc>
        <w:tc>
          <w:tcPr>
            <w:tcW w:type="dxa" w:w="79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Quelle manifestation est observable sans diagnostic automatique ?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 — Mécanismes</w:t>
            </w:r>
          </w:p>
        </w:tc>
        <w:tc>
          <w:tcPr>
            <w:tcW w:type="dxa" w:w="79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Quelles chaînes plausibles et quelles contradictions ?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 — Preuve</w:t>
            </w:r>
          </w:p>
        </w:tc>
        <w:tc>
          <w:tcPr>
            <w:tcW w:type="dxa" w:w="79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Quelle information ou auscultation peut changer la décision ?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S — Suite</w:t>
            </w:r>
          </w:p>
        </w:tc>
        <w:tc>
          <w:tcPr>
            <w:tcW w:type="dxa" w:w="79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Faut-il sécuriser, conserver, surveiller, investiguer ou étudier ?</w:t>
            </w:r>
          </w:p>
        </w:tc>
      </w:tr>
    </w:tbl>
    <w:p>
      <w:pPr>
        <w:spacing w:after="20"/>
      </w:pPr>
    </w:p>
    <w:p>
      <w:pPr>
        <w:pStyle w:val="Heading2"/>
      </w:pPr>
      <w:r>
        <w:t>Une trace qui résiste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Identifier matériau, support, finition, zone et fonction avant d'interpréter.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 seulement des états dont la date, le cadrage, l'échelle et les interventions sont qualifiés.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manifestation, mécanisme possible, étendue interne et conséquence sur la fonction.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Utiliser chaque source dans son champ et rendre visibles ses exclusions.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Passer le relais lorsque l'identification, l'auscultation ou la performance dépasse l'observation.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Angle mort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surface peut montrer une fissure, une trace ou un éclat ; elle ne révèle pas automatiquement l'état interne, la performance ou la durée de vie résiduelle.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Sécurité, décision et passage de relais</w:t>
      </w:r>
    </w:p>
    <w:p>
      <w:pPr>
        <w:pStyle w:val="Heading2"/>
      </w:pPr>
      <w:r>
        <w:t>Priorités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Protéger les personnes lorsqu'une chute d'élément ou une instabilité apparente est possible.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Conserver les états et les pièces avant nettoyage, préparation ou traitement.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Qualifier la chronologie et la comparabilité des vues.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Choisir la caractérisation qui répond à l'incertitude importante.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Définir l'objectif et le périmètre avant toute étude de réparation.</w:t>
      </w:r>
    </w:p>
    <w:p>
      <w:pPr>
        <w:pStyle w:val="Heading2"/>
      </w:pPr>
      <w:r>
        <w:t>Message de relais</w:t>
      </w:r>
    </w:p>
    <w:p>
      <w:r>
        <w:rPr>
          <w:rFonts w:ascii="Arial" w:hAnsi="Arial"/>
          <w:b w:val="0"/>
          <w:i w:val="0"/>
          <w:color w:val="20282D"/>
          <w:sz w:val="21"/>
        </w:rPr>
        <w:t>Transmettez le matériau, la finition, l'état, la comparaison disponible, les mécanismes ouverts, la limite de surface et la caractéristique à établir.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Limite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Ce mémo ne remplace ni une visite adaptée, ni une étude, une auscultation ou l'intervention d'un professionnel compétent.</w:t>
            </w:r>
          </w:p>
        </w:tc>
      </w:tr>
    </w:tbl>
    <w:p>
      <w:pPr>
        <w:spacing w:after="20"/>
      </w:pPr>
    </w:p>
    <w:p>
      <w:pPr>
        <w:pStyle w:val="Heading2"/>
      </w:pPr>
      <w:r>
        <w:t>Sources</w:t>
      </w:r>
    </w:p>
    <w:p>
      <w:r>
        <w:rPr>
          <w:rFonts w:ascii="Arial" w:hAnsi="Arial"/>
          <w:b w:val="0"/>
          <w:i/>
          <w:color w:val="20282D"/>
          <w:sz w:val="21"/>
        </w:rPr>
        <w:t>Contenus techniques reformulés à partir du cours maître et des sources publiques citées. Cas et illustration : créations fictives originales IEB.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P-04  •  Vieillissement des matériaux et dégradations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