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A-01  |  SPÉCIALISATION</w:t>
      </w:r>
    </w:p>
    <w:p>
      <w:pPr>
        <w:pStyle w:val="Title"/>
      </w:pPr>
      <w:r>
        <w:rPr>
          <w:rFonts w:ascii="Calibri" w:hAnsi="Calibri"/>
          <w:b/>
          <w:i w:val="0"/>
          <w:color w:val="24493D"/>
          <w:sz w:val="52"/>
        </w:rPr>
        <w:t>SUPPORT APPRENANT</w:t>
      </w:r>
    </w:p>
    <w:p>
      <w:r>
        <w:rPr>
          <w:rFonts w:ascii="Calibri" w:hAnsi="Calibri"/>
          <w:b/>
          <w:i w:val="0"/>
          <w:color w:val="315F78"/>
          <w:sz w:val="26"/>
        </w:rPr>
        <w:t>Qualité environnementale du bâtiment</w:t>
      </w:r>
    </w:p>
    <w:p>
      <w:pPr>
        <w:spacing w:before="80" w:after="160"/>
        <w:ind w:left="115" w:right="115"/>
        <w:shd w:fill="E9EFEA"/>
      </w:pPr>
      <w:r>
        <w:rPr>
          <w:rFonts w:ascii="Calibri" w:hAnsi="Calibri"/>
          <w:b/>
          <w:i w:val="0"/>
          <w:color w:val="C66B32"/>
          <w:sz w:val="21"/>
        </w:rPr>
        <w:t xml:space="preserve">Format — </w:t>
      </w:r>
      <w:r>
        <w:rPr>
          <w:rFonts w:ascii="Calibri" w:hAnsi="Calibri"/>
          <w:b w:val="0"/>
          <w:i w:val="0"/>
          <w:color w:val="252A2C"/>
          <w:sz w:val="21"/>
        </w:rPr>
        <w:t>120 minutes obligatoires | 4 unités | 8 sujets | 20 minutes d'évaluation déjà incluses</w:t>
      </w:r>
    </w:p>
    <w:p>
      <w:pPr>
        <w:jc w:val="center"/>
      </w:pPr>
      <w:r>
        <w:drawing>
          <wp:inline xmlns:a="http://schemas.openxmlformats.org/drawingml/2006/main" xmlns:pic="http://schemas.openxmlformats.org/drawingml/2006/picture">
            <wp:extent cx="5532120" cy="3319272"/>
            <wp:docPr id="1" name="Picture 1" descr="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 title="Illustration originale IEB"/>
            <wp:cNvGraphicFramePr>
              <a:graphicFrameLocks noChangeAspect="1"/>
            </wp:cNvGraphicFramePr>
            <a:graphic>
              <a:graphicData uri="http://schemas.openxmlformats.org/drawingml/2006/picture">
                <pic:pic>
                  <pic:nvPicPr>
                    <pic:cNvPr id="0" name="ieb-asset-a01-000001__boussole-sans-score-global__v0.1.0.png"/>
                    <pic:cNvPicPr/>
                  </pic:nvPicPr>
                  <pic:blipFill>
                    <a:blip r:embed="rId13"/>
                    <a:stretch>
                      <a:fillRect/>
                    </a:stretch>
                  </pic:blipFill>
                  <pic:spPr>
                    <a:xfrm>
                      <a:off x="0" y="0"/>
                      <a:ext cx="5532120" cy="3319272"/>
                    </a:xfrm>
                    <a:prstGeom prst="rect"/>
                  </pic:spPr>
                </pic:pic>
              </a:graphicData>
            </a:graphic>
          </wp:inline>
        </w:drawing>
      </w:r>
    </w:p>
    <w:p>
      <w:pPr>
        <w:spacing w:after="160"/>
        <w:jc w:val="center"/>
      </w:pPr>
      <w:r>
        <w:rPr>
          <w:rFonts w:ascii="Calibri" w:hAnsi="Calibri"/>
          <w:b w:val="0"/>
          <w:i/>
          <w:color w:val="59646A"/>
          <w:sz w:val="17"/>
        </w:rPr>
        <w:t>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w:t>
      </w:r>
    </w:p>
    <w:p>
      <w:r>
        <w:rPr>
          <w:rFonts w:ascii="Calibri" w:hAnsi="Calibri"/>
          <w:b w:val="0"/>
          <w:i/>
          <w:color w:val="252A2C"/>
          <w:sz w:val="22"/>
        </w:rPr>
        <w:t>Clairière est un scénario entièrement synthétique. Aucun bâtiment, acteur, produit, entreprise, adresse, fait ou fichier réel n'est utilisé.</w:t>
      </w:r>
    </w:p>
    <w:p>
      <w:pPr>
        <w:spacing w:before="80" w:after="160"/>
        <w:ind w:left="115" w:right="115"/>
        <w:shd w:fill="F5F0E6"/>
      </w:pPr>
      <w:r>
        <w:rPr>
          <w:rFonts w:ascii="Calibri" w:hAnsi="Calibri"/>
          <w:b/>
          <w:i w:val="0"/>
          <w:color w:val="C66B32"/>
          <w:sz w:val="21"/>
        </w:rPr>
        <w:t xml:space="preserve">Finalité — </w:t>
      </w:r>
      <w:r>
        <w:rPr>
          <w:rFonts w:ascii="Calibri" w:hAnsi="Calibri"/>
          <w:b w:val="0"/>
          <w:i w:val="0"/>
          <w:color w:val="252A2C"/>
          <w:sz w:val="21"/>
        </w:rPr>
        <w:t>Comparer des variantes sur des bases explicites et produire un arbitrage environnemental traçable, sans note globale ni promesse excessive.</w:t>
      </w:r>
    </w:p>
    <w:p>
      <w:pPr>
        <w:pStyle w:val="Heading1"/>
        <w:pageBreakBefore/>
      </w:pPr>
      <w:r>
        <w:rPr>
          <w:rFonts w:ascii="Calibri" w:hAnsi="Calibri"/>
          <w:b/>
          <w:i w:val="0"/>
          <w:color w:val="24493D"/>
          <w:sz w:val="32"/>
        </w:rPr>
        <w:t>Parcours et durée</w:t>
      </w:r>
    </w:p>
    <w:tbl>
      <w:tblPr>
        <w:tblStyle w:val="TableGrid"/>
        <w:jc w:val="center"/>
        <w:tblLook w:firstColumn="1" w:firstRow="1" w:lastColumn="0" w:lastRow="0" w:noHBand="0" w:noVBand="1" w:val="04A0"/>
        <w:tblW w:w="9360" w:type="dxa"/>
        <w:tblInd w:w="120" w:type="dxa"/>
        <w:tblLayout w:type="fixed"/>
      </w:tblPr>
      <w:tblGrid>
        <w:gridCol w:w="2241"/>
        <w:gridCol w:w="1318"/>
        <w:gridCol w:w="1318"/>
        <w:gridCol w:w="1648"/>
        <w:gridCol w:w="1516"/>
        <w:gridCol w:w="1319"/>
      </w:tblGrid>
      <w:tr>
        <w:trPr>
          <w:tblHeader w:val="true"/>
          <w:cantSplit w:val="true"/>
        </w:trPr>
        <w:tc>
          <w:tcPr>
            <w:tcW w:type="dxa" w:w="2241"/>
            <w:shd w:fill="24493D"/>
            <w:tcMar>
              <w:top w:w="80" w:type="dxa"/>
              <w:start w:w="120" w:type="dxa"/>
              <w:bottom w:w="80" w:type="dxa"/>
              <w:end w:w="120" w:type="dxa"/>
            </w:tcMar>
            <w:vAlign w:val="center"/>
          </w:tcPr>
          <w:p>
            <w:pPr>
              <w:spacing w:after="0"/>
            </w:pPr>
            <w:r>
              <w:rPr>
                <w:rFonts w:ascii="Calibri" w:hAnsi="Calibri"/>
                <w:b/>
                <w:i w:val="0"/>
                <w:color w:val="FFFFFF"/>
                <w:sz w:val="18"/>
              </w:rPr>
              <w:t>Unité</w:t>
            </w:r>
          </w:p>
        </w:tc>
        <w:tc>
          <w:tcPr>
            <w:tcW w:type="dxa" w:w="1318"/>
            <w:shd w:fill="24493D"/>
            <w:tcMar>
              <w:top w:w="80" w:type="dxa"/>
              <w:start w:w="120" w:type="dxa"/>
              <w:bottom w:w="80" w:type="dxa"/>
              <w:end w:w="120" w:type="dxa"/>
            </w:tcMar>
            <w:vAlign w:val="center"/>
          </w:tcPr>
          <w:p>
            <w:pPr>
              <w:spacing w:after="0"/>
            </w:pPr>
            <w:r>
              <w:rPr>
                <w:rFonts w:ascii="Calibri" w:hAnsi="Calibri"/>
                <w:b/>
                <w:i w:val="0"/>
                <w:color w:val="FFFFFF"/>
                <w:sz w:val="18"/>
              </w:rPr>
              <w:t>Apports</w:t>
            </w:r>
          </w:p>
        </w:tc>
        <w:tc>
          <w:tcPr>
            <w:tcW w:type="dxa" w:w="1318"/>
            <w:shd w:fill="24493D"/>
            <w:tcMar>
              <w:top w:w="80" w:type="dxa"/>
              <w:start w:w="120" w:type="dxa"/>
              <w:bottom w:w="80" w:type="dxa"/>
              <w:end w:w="120" w:type="dxa"/>
            </w:tcMar>
            <w:vAlign w:val="center"/>
          </w:tcPr>
          <w:p>
            <w:pPr>
              <w:spacing w:after="0"/>
            </w:pPr>
            <w:r>
              <w:rPr>
                <w:rFonts w:ascii="Calibri" w:hAnsi="Calibri"/>
                <w:b/>
                <w:i w:val="0"/>
                <w:color w:val="FFFFFF"/>
                <w:sz w:val="18"/>
              </w:rPr>
              <w:t>Cas</w:t>
            </w:r>
          </w:p>
        </w:tc>
        <w:tc>
          <w:tcPr>
            <w:tcW w:type="dxa" w:w="1648"/>
            <w:shd w:fill="24493D"/>
            <w:tcMar>
              <w:top w:w="80" w:type="dxa"/>
              <w:start w:w="120" w:type="dxa"/>
              <w:bottom w:w="80" w:type="dxa"/>
              <w:end w:w="120" w:type="dxa"/>
            </w:tcMar>
            <w:vAlign w:val="center"/>
          </w:tcPr>
          <w:p>
            <w:pPr>
              <w:spacing w:after="0"/>
            </w:pPr>
            <w:r>
              <w:rPr>
                <w:rFonts w:ascii="Calibri" w:hAnsi="Calibri"/>
                <w:b/>
                <w:i w:val="0"/>
                <w:color w:val="FFFFFF"/>
                <w:sz w:val="18"/>
              </w:rPr>
              <w:t>Qualification</w:t>
            </w:r>
          </w:p>
        </w:tc>
        <w:tc>
          <w:tcPr>
            <w:tcW w:type="dxa" w:w="1516"/>
            <w:shd w:fill="24493D"/>
            <w:tcMar>
              <w:top w:w="80" w:type="dxa"/>
              <w:start w:w="120" w:type="dxa"/>
              <w:bottom w:w="80" w:type="dxa"/>
              <w:end w:w="120" w:type="dxa"/>
            </w:tcMar>
            <w:vAlign w:val="center"/>
          </w:tcPr>
          <w:p>
            <w:pPr>
              <w:spacing w:after="0"/>
            </w:pPr>
            <w:r>
              <w:rPr>
                <w:rFonts w:ascii="Calibri" w:hAnsi="Calibri"/>
                <w:b/>
                <w:i w:val="0"/>
                <w:color w:val="FFFFFF"/>
                <w:sz w:val="18"/>
              </w:rPr>
              <w:t>Évaluation</w:t>
            </w:r>
          </w:p>
        </w:tc>
        <w:tc>
          <w:tcPr>
            <w:tcW w:type="dxa" w:w="1319"/>
            <w:shd w:fill="24493D"/>
            <w:tcMar>
              <w:top w:w="80" w:type="dxa"/>
              <w:start w:w="120" w:type="dxa"/>
              <w:bottom w:w="80" w:type="dxa"/>
              <w:end w:w="120" w:type="dxa"/>
            </w:tcMar>
            <w:vAlign w:val="center"/>
          </w:tcPr>
          <w:p>
            <w:pPr>
              <w:spacing w:after="0"/>
            </w:pPr>
            <w:r>
              <w:rPr>
                <w:rFonts w:ascii="Calibri" w:hAnsi="Calibri"/>
                <w:b/>
                <w:i w:val="0"/>
                <w:color w:val="FFFFFF"/>
                <w:sz w:val="18"/>
              </w:rPr>
              <w:t>Total</w:t>
            </w:r>
          </w:p>
        </w:tc>
      </w:tr>
      <w:tr>
        <w:trPr>
          <w:cantSplit w:val="true"/>
        </w:trPr>
        <w:tc>
          <w:tcPr>
            <w:tcW w:type="dxa" w:w="2241"/>
            <w:tcMar>
              <w:top w:w="80" w:type="dxa"/>
              <w:start w:w="120" w:type="dxa"/>
              <w:bottom w:w="80" w:type="dxa"/>
              <w:end w:w="120" w:type="dxa"/>
            </w:tcMar>
            <w:vAlign w:val="center"/>
          </w:tcPr>
          <w:p>
            <w:pPr>
              <w:spacing w:after="0"/>
            </w:pPr>
            <w:r>
              <w:rPr>
                <w:rFonts w:ascii="Calibri" w:hAnsi="Calibri"/>
                <w:b w:val="0"/>
                <w:i w:val="0"/>
                <w:color w:val="252A2C"/>
                <w:sz w:val="18"/>
              </w:rPr>
              <w:t>1 · Cadrer</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12 min</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8 min</w:t>
            </w:r>
          </w:p>
        </w:tc>
        <w:tc>
          <w:tcPr>
            <w:tcW w:type="dxa" w:w="1648"/>
            <w:tcMar>
              <w:top w:w="80" w:type="dxa"/>
              <w:start w:w="120" w:type="dxa"/>
              <w:bottom w:w="80" w:type="dxa"/>
              <w:end w:w="120" w:type="dxa"/>
            </w:tcMar>
            <w:vAlign w:val="center"/>
          </w:tcPr>
          <w:p>
            <w:pPr>
              <w:spacing w:after="0"/>
            </w:pPr>
            <w:r>
              <w:rPr>
                <w:rFonts w:ascii="Calibri" w:hAnsi="Calibri"/>
                <w:b w:val="0"/>
                <w:i w:val="0"/>
                <w:color w:val="252A2C"/>
                <w:sz w:val="18"/>
              </w:rPr>
              <w:t>5 min</w:t>
            </w:r>
          </w:p>
        </w:tc>
        <w:tc>
          <w:tcPr>
            <w:tcW w:type="dxa" w:w="1516"/>
            <w:tcMar>
              <w:top w:w="80" w:type="dxa"/>
              <w:start w:w="120" w:type="dxa"/>
              <w:bottom w:w="80" w:type="dxa"/>
              <w:end w:w="120" w:type="dxa"/>
            </w:tcMar>
            <w:vAlign w:val="center"/>
          </w:tcPr>
          <w:p>
            <w:pPr>
              <w:spacing w:after="0"/>
            </w:pPr>
            <w:r>
              <w:rPr>
                <w:rFonts w:ascii="Calibri" w:hAnsi="Calibri"/>
                <w:b w:val="0"/>
                <w:i w:val="0"/>
                <w:color w:val="252A2C"/>
                <w:sz w:val="18"/>
              </w:rPr>
              <w:t>5 min</w:t>
            </w:r>
          </w:p>
        </w:tc>
        <w:tc>
          <w:tcPr>
            <w:tcW w:type="dxa" w:w="1319"/>
            <w:tcMar>
              <w:top w:w="80" w:type="dxa"/>
              <w:start w:w="120" w:type="dxa"/>
              <w:bottom w:w="80" w:type="dxa"/>
              <w:end w:w="120" w:type="dxa"/>
            </w:tcMar>
            <w:vAlign w:val="center"/>
          </w:tcPr>
          <w:p>
            <w:pPr>
              <w:spacing w:after="0"/>
            </w:pPr>
            <w:r>
              <w:rPr>
                <w:rFonts w:ascii="Calibri" w:hAnsi="Calibri"/>
                <w:b w:val="0"/>
                <w:i w:val="0"/>
                <w:color w:val="252A2C"/>
                <w:sz w:val="18"/>
              </w:rPr>
              <w:t>30 min</w:t>
            </w:r>
          </w:p>
        </w:tc>
      </w:tr>
      <w:tr>
        <w:trPr>
          <w:cantSplit w:val="true"/>
        </w:trPr>
        <w:tc>
          <w:tcPr>
            <w:tcW w:type="dxa" w:w="2241"/>
            <w:tcMar>
              <w:top w:w="80" w:type="dxa"/>
              <w:start w:w="120" w:type="dxa"/>
              <w:bottom w:w="80" w:type="dxa"/>
              <w:end w:w="120" w:type="dxa"/>
            </w:tcMar>
            <w:vAlign w:val="center"/>
          </w:tcPr>
          <w:p>
            <w:pPr>
              <w:spacing w:after="0"/>
            </w:pPr>
            <w:r>
              <w:rPr>
                <w:rFonts w:ascii="Calibri" w:hAnsi="Calibri"/>
                <w:b w:val="0"/>
                <w:i w:val="0"/>
                <w:color w:val="252A2C"/>
                <w:sz w:val="18"/>
              </w:rPr>
              <w:t>2 · Qualifier</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10 min</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10 min</w:t>
            </w:r>
          </w:p>
        </w:tc>
        <w:tc>
          <w:tcPr>
            <w:tcW w:type="dxa" w:w="1648"/>
            <w:tcMar>
              <w:top w:w="80" w:type="dxa"/>
              <w:start w:w="120" w:type="dxa"/>
              <w:bottom w:w="80" w:type="dxa"/>
              <w:end w:w="120" w:type="dxa"/>
            </w:tcMar>
            <w:vAlign w:val="center"/>
          </w:tcPr>
          <w:p>
            <w:pPr>
              <w:spacing w:after="0"/>
            </w:pPr>
            <w:r>
              <w:rPr>
                <w:rFonts w:ascii="Calibri" w:hAnsi="Calibri"/>
                <w:b w:val="0"/>
                <w:i w:val="0"/>
                <w:color w:val="252A2C"/>
                <w:sz w:val="18"/>
              </w:rPr>
              <w:t>6 min</w:t>
            </w:r>
          </w:p>
        </w:tc>
        <w:tc>
          <w:tcPr>
            <w:tcW w:type="dxa" w:w="1516"/>
            <w:tcMar>
              <w:top w:w="80" w:type="dxa"/>
              <w:start w:w="120" w:type="dxa"/>
              <w:bottom w:w="80" w:type="dxa"/>
              <w:end w:w="120" w:type="dxa"/>
            </w:tcMar>
            <w:vAlign w:val="center"/>
          </w:tcPr>
          <w:p>
            <w:pPr>
              <w:spacing w:after="0"/>
            </w:pPr>
            <w:r>
              <w:rPr>
                <w:rFonts w:ascii="Calibri" w:hAnsi="Calibri"/>
                <w:b w:val="0"/>
                <w:i w:val="0"/>
                <w:color w:val="252A2C"/>
                <w:sz w:val="18"/>
              </w:rPr>
              <w:t>4 min</w:t>
            </w:r>
          </w:p>
        </w:tc>
        <w:tc>
          <w:tcPr>
            <w:tcW w:type="dxa" w:w="1319"/>
            <w:tcMar>
              <w:top w:w="80" w:type="dxa"/>
              <w:start w:w="120" w:type="dxa"/>
              <w:bottom w:w="80" w:type="dxa"/>
              <w:end w:w="120" w:type="dxa"/>
            </w:tcMar>
            <w:vAlign w:val="center"/>
          </w:tcPr>
          <w:p>
            <w:pPr>
              <w:spacing w:after="0"/>
            </w:pPr>
            <w:r>
              <w:rPr>
                <w:rFonts w:ascii="Calibri" w:hAnsi="Calibri"/>
                <w:b w:val="0"/>
                <w:i w:val="0"/>
                <w:color w:val="252A2C"/>
                <w:sz w:val="18"/>
              </w:rPr>
              <w:t>30 min</w:t>
            </w:r>
          </w:p>
        </w:tc>
      </w:tr>
      <w:tr>
        <w:trPr>
          <w:cantSplit w:val="true"/>
        </w:trPr>
        <w:tc>
          <w:tcPr>
            <w:tcW w:type="dxa" w:w="2241"/>
            <w:tcMar>
              <w:top w:w="80" w:type="dxa"/>
              <w:start w:w="120" w:type="dxa"/>
              <w:bottom w:w="80" w:type="dxa"/>
              <w:end w:w="120" w:type="dxa"/>
            </w:tcMar>
            <w:vAlign w:val="center"/>
          </w:tcPr>
          <w:p>
            <w:pPr>
              <w:spacing w:after="0"/>
            </w:pPr>
            <w:r>
              <w:rPr>
                <w:rFonts w:ascii="Calibri" w:hAnsi="Calibri"/>
                <w:b w:val="0"/>
                <w:i w:val="0"/>
                <w:color w:val="252A2C"/>
                <w:sz w:val="18"/>
              </w:rPr>
              <w:t>3 · Comparer</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8 min</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12 min</w:t>
            </w:r>
          </w:p>
        </w:tc>
        <w:tc>
          <w:tcPr>
            <w:tcW w:type="dxa" w:w="1648"/>
            <w:tcMar>
              <w:top w:w="80" w:type="dxa"/>
              <w:start w:w="120" w:type="dxa"/>
              <w:bottom w:w="80" w:type="dxa"/>
              <w:end w:w="120" w:type="dxa"/>
            </w:tcMar>
            <w:vAlign w:val="center"/>
          </w:tcPr>
          <w:p>
            <w:pPr>
              <w:spacing w:after="0"/>
            </w:pPr>
            <w:r>
              <w:rPr>
                <w:rFonts w:ascii="Calibri" w:hAnsi="Calibri"/>
                <w:b w:val="0"/>
                <w:i w:val="0"/>
                <w:color w:val="252A2C"/>
                <w:sz w:val="18"/>
              </w:rPr>
              <w:t>5 min</w:t>
            </w:r>
          </w:p>
        </w:tc>
        <w:tc>
          <w:tcPr>
            <w:tcW w:type="dxa" w:w="1516"/>
            <w:tcMar>
              <w:top w:w="80" w:type="dxa"/>
              <w:start w:w="120" w:type="dxa"/>
              <w:bottom w:w="80" w:type="dxa"/>
              <w:end w:w="120" w:type="dxa"/>
            </w:tcMar>
            <w:vAlign w:val="center"/>
          </w:tcPr>
          <w:p>
            <w:pPr>
              <w:spacing w:after="0"/>
            </w:pPr>
            <w:r>
              <w:rPr>
                <w:rFonts w:ascii="Calibri" w:hAnsi="Calibri"/>
                <w:b w:val="0"/>
                <w:i w:val="0"/>
                <w:color w:val="252A2C"/>
                <w:sz w:val="18"/>
              </w:rPr>
              <w:t>5 min</w:t>
            </w:r>
          </w:p>
        </w:tc>
        <w:tc>
          <w:tcPr>
            <w:tcW w:type="dxa" w:w="1319"/>
            <w:tcMar>
              <w:top w:w="80" w:type="dxa"/>
              <w:start w:w="120" w:type="dxa"/>
              <w:bottom w:w="80" w:type="dxa"/>
              <w:end w:w="120" w:type="dxa"/>
            </w:tcMar>
            <w:vAlign w:val="center"/>
          </w:tcPr>
          <w:p>
            <w:pPr>
              <w:spacing w:after="0"/>
            </w:pPr>
            <w:r>
              <w:rPr>
                <w:rFonts w:ascii="Calibri" w:hAnsi="Calibri"/>
                <w:b w:val="0"/>
                <w:i w:val="0"/>
                <w:color w:val="252A2C"/>
                <w:sz w:val="18"/>
              </w:rPr>
              <w:t>30 min</w:t>
            </w:r>
          </w:p>
        </w:tc>
      </w:tr>
      <w:tr>
        <w:trPr>
          <w:cantSplit w:val="true"/>
        </w:trPr>
        <w:tc>
          <w:tcPr>
            <w:tcW w:type="dxa" w:w="2241"/>
            <w:tcMar>
              <w:top w:w="80" w:type="dxa"/>
              <w:start w:w="120" w:type="dxa"/>
              <w:bottom w:w="80" w:type="dxa"/>
              <w:end w:w="120" w:type="dxa"/>
            </w:tcMar>
            <w:vAlign w:val="center"/>
          </w:tcPr>
          <w:p>
            <w:pPr>
              <w:spacing w:after="0"/>
            </w:pPr>
            <w:r>
              <w:rPr>
                <w:rFonts w:ascii="Calibri" w:hAnsi="Calibri"/>
                <w:b w:val="0"/>
                <w:i w:val="0"/>
                <w:color w:val="252A2C"/>
                <w:sz w:val="18"/>
              </w:rPr>
              <w:t>4 · Décider</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10 min</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10 min</w:t>
            </w:r>
          </w:p>
        </w:tc>
        <w:tc>
          <w:tcPr>
            <w:tcW w:type="dxa" w:w="1648"/>
            <w:tcMar>
              <w:top w:w="80" w:type="dxa"/>
              <w:start w:w="120" w:type="dxa"/>
              <w:bottom w:w="80" w:type="dxa"/>
              <w:end w:w="120" w:type="dxa"/>
            </w:tcMar>
            <w:vAlign w:val="center"/>
          </w:tcPr>
          <w:p>
            <w:pPr>
              <w:spacing w:after="0"/>
            </w:pPr>
            <w:r>
              <w:rPr>
                <w:rFonts w:ascii="Calibri" w:hAnsi="Calibri"/>
                <w:b w:val="0"/>
                <w:i w:val="0"/>
                <w:color w:val="252A2C"/>
                <w:sz w:val="18"/>
              </w:rPr>
              <w:t>4 min</w:t>
            </w:r>
          </w:p>
        </w:tc>
        <w:tc>
          <w:tcPr>
            <w:tcW w:type="dxa" w:w="1516"/>
            <w:tcMar>
              <w:top w:w="80" w:type="dxa"/>
              <w:start w:w="120" w:type="dxa"/>
              <w:bottom w:w="80" w:type="dxa"/>
              <w:end w:w="120" w:type="dxa"/>
            </w:tcMar>
            <w:vAlign w:val="center"/>
          </w:tcPr>
          <w:p>
            <w:pPr>
              <w:spacing w:after="0"/>
            </w:pPr>
            <w:r>
              <w:rPr>
                <w:rFonts w:ascii="Calibri" w:hAnsi="Calibri"/>
                <w:b w:val="0"/>
                <w:i w:val="0"/>
                <w:color w:val="252A2C"/>
                <w:sz w:val="18"/>
              </w:rPr>
              <w:t>6 min</w:t>
            </w:r>
          </w:p>
        </w:tc>
        <w:tc>
          <w:tcPr>
            <w:tcW w:type="dxa" w:w="1319"/>
            <w:tcMar>
              <w:top w:w="80" w:type="dxa"/>
              <w:start w:w="120" w:type="dxa"/>
              <w:bottom w:w="80" w:type="dxa"/>
              <w:end w:w="120" w:type="dxa"/>
            </w:tcMar>
            <w:vAlign w:val="center"/>
          </w:tcPr>
          <w:p>
            <w:pPr>
              <w:spacing w:after="0"/>
            </w:pPr>
            <w:r>
              <w:rPr>
                <w:rFonts w:ascii="Calibri" w:hAnsi="Calibri"/>
                <w:b w:val="0"/>
                <w:i w:val="0"/>
                <w:color w:val="252A2C"/>
                <w:sz w:val="18"/>
              </w:rPr>
              <w:t>30 min</w:t>
            </w:r>
          </w:p>
        </w:tc>
      </w:tr>
      <w:tr>
        <w:trPr>
          <w:cantSplit w:val="true"/>
        </w:trPr>
        <w:tc>
          <w:tcPr>
            <w:tcW w:type="dxa" w:w="2241"/>
            <w:tcMar>
              <w:top w:w="80" w:type="dxa"/>
              <w:start w:w="120" w:type="dxa"/>
              <w:bottom w:w="80" w:type="dxa"/>
              <w:end w:w="120" w:type="dxa"/>
            </w:tcMar>
            <w:vAlign w:val="center"/>
          </w:tcPr>
          <w:p>
            <w:pPr>
              <w:spacing w:after="0"/>
            </w:pPr>
            <w:r>
              <w:rPr>
                <w:rFonts w:ascii="Calibri" w:hAnsi="Calibri"/>
                <w:b w:val="0"/>
                <w:i w:val="0"/>
                <w:color w:val="252A2C"/>
                <w:sz w:val="18"/>
              </w:rPr>
              <w:t>Total</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40 min</w:t>
            </w:r>
          </w:p>
        </w:tc>
        <w:tc>
          <w:tcPr>
            <w:tcW w:type="dxa" w:w="1318"/>
            <w:tcMar>
              <w:top w:w="80" w:type="dxa"/>
              <w:start w:w="120" w:type="dxa"/>
              <w:bottom w:w="80" w:type="dxa"/>
              <w:end w:w="120" w:type="dxa"/>
            </w:tcMar>
            <w:vAlign w:val="center"/>
          </w:tcPr>
          <w:p>
            <w:pPr>
              <w:spacing w:after="0"/>
            </w:pPr>
            <w:r>
              <w:rPr>
                <w:rFonts w:ascii="Calibri" w:hAnsi="Calibri"/>
                <w:b w:val="0"/>
                <w:i w:val="0"/>
                <w:color w:val="252A2C"/>
                <w:sz w:val="18"/>
              </w:rPr>
              <w:t>40 min</w:t>
            </w:r>
          </w:p>
        </w:tc>
        <w:tc>
          <w:tcPr>
            <w:tcW w:type="dxa" w:w="1648"/>
            <w:tcMar>
              <w:top w:w="80" w:type="dxa"/>
              <w:start w:w="120" w:type="dxa"/>
              <w:bottom w:w="80" w:type="dxa"/>
              <w:end w:w="120" w:type="dxa"/>
            </w:tcMar>
            <w:vAlign w:val="center"/>
          </w:tcPr>
          <w:p>
            <w:pPr>
              <w:spacing w:after="0"/>
            </w:pPr>
            <w:r>
              <w:rPr>
                <w:rFonts w:ascii="Calibri" w:hAnsi="Calibri"/>
                <w:b w:val="0"/>
                <w:i w:val="0"/>
                <w:color w:val="252A2C"/>
                <w:sz w:val="18"/>
              </w:rPr>
              <w:t>20 min</w:t>
            </w:r>
          </w:p>
        </w:tc>
        <w:tc>
          <w:tcPr>
            <w:tcW w:type="dxa" w:w="1516"/>
            <w:tcMar>
              <w:top w:w="80" w:type="dxa"/>
              <w:start w:w="120" w:type="dxa"/>
              <w:bottom w:w="80" w:type="dxa"/>
              <w:end w:w="120" w:type="dxa"/>
            </w:tcMar>
            <w:vAlign w:val="center"/>
          </w:tcPr>
          <w:p>
            <w:pPr>
              <w:spacing w:after="0"/>
            </w:pPr>
            <w:r>
              <w:rPr>
                <w:rFonts w:ascii="Calibri" w:hAnsi="Calibri"/>
                <w:b w:val="0"/>
                <w:i w:val="0"/>
                <w:color w:val="252A2C"/>
                <w:sz w:val="18"/>
              </w:rPr>
              <w:t>20 min</w:t>
            </w:r>
          </w:p>
        </w:tc>
        <w:tc>
          <w:tcPr>
            <w:tcW w:type="dxa" w:w="1319"/>
            <w:tcMar>
              <w:top w:w="80" w:type="dxa"/>
              <w:start w:w="120" w:type="dxa"/>
              <w:bottom w:w="80" w:type="dxa"/>
              <w:end w:w="120" w:type="dxa"/>
            </w:tcMar>
            <w:vAlign w:val="center"/>
          </w:tcPr>
          <w:p>
            <w:pPr>
              <w:spacing w:after="0"/>
            </w:pPr>
            <w:r>
              <w:rPr>
                <w:rFonts w:ascii="Calibri" w:hAnsi="Calibri"/>
                <w:b w:val="0"/>
                <w:i w:val="0"/>
                <w:color w:val="252A2C"/>
                <w:sz w:val="18"/>
              </w:rPr>
              <w:t>120 min</w:t>
            </w:r>
          </w:p>
        </w:tc>
      </w:tr>
    </w:tbl>
    <w:p>
      <w:pPr>
        <w:spacing w:after="20"/>
      </w:pPr>
    </w:p>
    <w:p>
      <w:pPr>
        <w:spacing w:before="80" w:after="160"/>
        <w:ind w:left="115" w:right="115"/>
        <w:shd w:fill="F3F5F3"/>
      </w:pPr>
      <w:r>
        <w:rPr>
          <w:rFonts w:ascii="Calibri" w:hAnsi="Calibri"/>
          <w:b/>
          <w:i w:val="0"/>
          <w:color w:val="C66B32"/>
          <w:sz w:val="21"/>
        </w:rPr>
        <w:t xml:space="preserve">Règle de durée — </w:t>
      </w:r>
      <w:r>
        <w:rPr>
          <w:rFonts w:ascii="Calibri" w:hAnsi="Calibri"/>
          <w:b w:val="0"/>
          <w:i w:val="0"/>
          <w:color w:val="252A2C"/>
          <w:sz w:val="21"/>
        </w:rPr>
        <w:t>Les documents accompagnent les activités déjà comptées. Ils n'ajoutent aucune minute aux 120 minutes obligatoires.</w:t>
      </w:r>
    </w:p>
    <w:p>
      <w:pPr>
        <w:pStyle w:val="Heading1"/>
        <w:pageBreakBefore/>
      </w:pPr>
      <w:r>
        <w:rPr>
          <w:rFonts w:ascii="Calibri" w:hAnsi="Calibri"/>
          <w:b/>
          <w:i w:val="0"/>
          <w:color w:val="24493D"/>
          <w:sz w:val="32"/>
        </w:rPr>
        <w:t>Unité 1 — Cadrer une qualité environnementale qui aide la décision — 30 minutes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Transformer une demande vague en décision comparable et construire une boussole multicritère sans score global.</w:t>
      </w:r>
    </w:p>
    <w:p>
      <w:pPr>
        <w:pStyle w:val="Heading2"/>
        <w:pageBreakBefore w:val="0"/>
      </w:pPr>
      <w:r>
        <w:rPr>
          <w:rFonts w:ascii="Calibri" w:hAnsi="Calibri"/>
          <w:b/>
          <w:i w:val="0"/>
          <w:color w:val="C66B32"/>
          <w:sz w:val="26"/>
        </w:rPr>
        <w:t>Sujet 1 — Cadrer la décision</w:t>
      </w:r>
    </w:p>
    <w:p>
      <w:r>
        <w:rPr>
          <w:rFonts w:ascii="Calibri" w:hAnsi="Calibri"/>
          <w:b w:val="0"/>
          <w:i w:val="0"/>
          <w:color w:val="252A2C"/>
          <w:sz w:val="22"/>
        </w:rPr>
        <w:t>Définir la fonction commune, l'objet, la phase, les usages, l'horizon, les exigences, les critères et les responsabilités. Séparer fait établi, donnée déclarée, hypothèse et préférence.</w:t>
      </w:r>
    </w:p>
    <w:p>
      <w:pPr>
        <w:pStyle w:val="Heading2"/>
        <w:pageBreakBefore w:val="0"/>
      </w:pPr>
      <w:r>
        <w:rPr>
          <w:rFonts w:ascii="Calibri" w:hAnsi="Calibri"/>
          <w:b/>
          <w:i w:val="0"/>
          <w:color w:val="C66B32"/>
          <w:sz w:val="26"/>
        </w:rPr>
        <w:t>Sujet 2 — Construire la Boussole IEB</w:t>
      </w:r>
    </w:p>
    <w:p>
      <w:r>
        <w:rPr>
          <w:rFonts w:ascii="Calibri" w:hAnsi="Calibri"/>
          <w:b w:val="0"/>
          <w:i w:val="0"/>
          <w:color w:val="252A2C"/>
          <w:sz w:val="22"/>
        </w:rPr>
        <w:t>Garder huit axes visibles. Pour chacun : état, donnée ou preuve, limite et prochain contrôle. Aucun axe ne compense automatiquement un risque ou une donnée manquante.</w:t>
      </w:r>
    </w:p>
    <w:p>
      <w:pPr>
        <w:pStyle w:val="Heading2"/>
        <w:pageBreakBefore w:val="0"/>
      </w:pPr>
      <w:r>
        <w:rPr>
          <w:rFonts w:ascii="Calibri" w:hAnsi="Calibri"/>
          <w:b/>
          <w:i w:val="0"/>
          <w:color w:val="C66B32"/>
          <w:sz w:val="26"/>
        </w:rPr>
        <w:t>Méthode de travail</w:t>
      </w:r>
    </w:p>
    <w:p>
      <w:pPr>
        <w:pStyle w:val="ListBullet"/>
      </w:pPr>
      <w:r>
        <w:rPr>
          <w:rFonts w:ascii="Calibri" w:hAnsi="Calibri"/>
          <w:b w:val="0"/>
          <w:i w:val="0"/>
          <w:color w:val="252A2C"/>
          <w:sz w:val="22"/>
        </w:rPr>
        <w:t>Écrire la décision avec un verbe d'action, une fonction et un horizon.</w:t>
      </w:r>
    </w:p>
    <w:p>
      <w:pPr>
        <w:pStyle w:val="ListBullet"/>
      </w:pPr>
      <w:r>
        <w:rPr>
          <w:rFonts w:ascii="Calibri" w:hAnsi="Calibri"/>
          <w:b w:val="0"/>
          <w:i w:val="0"/>
          <w:color w:val="252A2C"/>
          <w:sz w:val="22"/>
        </w:rPr>
        <w:t>Qualifier le bâtiment, la partie étudiée, la phase, les usages et la date pertinente.</w:t>
      </w:r>
    </w:p>
    <w:p>
      <w:pPr>
        <w:pStyle w:val="ListBullet"/>
      </w:pPr>
      <w:r>
        <w:rPr>
          <w:rFonts w:ascii="Calibri" w:hAnsi="Calibri"/>
          <w:b w:val="0"/>
          <w:i w:val="0"/>
          <w:color w:val="252A2C"/>
          <w:sz w:val="22"/>
        </w:rPr>
        <w:t>Classer chaque information : établi, déclaré, hypothèse ou préférence.</w:t>
      </w:r>
    </w:p>
    <w:p>
      <w:pPr>
        <w:pStyle w:val="ListBullet"/>
      </w:pPr>
      <w:r>
        <w:rPr>
          <w:rFonts w:ascii="Calibri" w:hAnsi="Calibri"/>
          <w:b w:val="0"/>
          <w:i w:val="0"/>
          <w:color w:val="252A2C"/>
          <w:sz w:val="22"/>
        </w:rPr>
        <w:t>Renseigner les huit axes de la Boussole sans moyenne ni pondération cachée.</w:t>
      </w:r>
    </w:p>
    <w:p>
      <w:pPr>
        <w:pStyle w:val="ListBullet"/>
      </w:pPr>
      <w:r>
        <w:rPr>
          <w:rFonts w:ascii="Calibri" w:hAnsi="Calibri"/>
          <w:b w:val="0"/>
          <w:i w:val="0"/>
          <w:color w:val="252A2C"/>
          <w:sz w:val="22"/>
        </w:rPr>
        <w:t>Nommer une limite et un prochain contrôle pour chaque axe décisif.</w:t>
      </w:r>
    </w:p>
    <w:p>
      <w:pPr>
        <w:jc w:val="center"/>
      </w:pPr>
      <w:r>
        <w:drawing>
          <wp:inline xmlns:a="http://schemas.openxmlformats.org/drawingml/2006/main" xmlns:pic="http://schemas.openxmlformats.org/drawingml/2006/picture">
            <wp:extent cx="5486400" cy="3291840"/>
            <wp:docPr id="2" name="Picture 2" descr="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 title="Illustration originale IEB"/>
            <wp:cNvGraphicFramePr>
              <a:graphicFrameLocks noChangeAspect="1"/>
            </wp:cNvGraphicFramePr>
            <a:graphic>
              <a:graphicData uri="http://schemas.openxmlformats.org/drawingml/2006/picture">
                <pic:pic>
                  <pic:nvPicPr>
                    <pic:cNvPr id="0" name="ieb-asset-a01-000001__boussole-sans-score-global__v0.1.0.png"/>
                    <pic:cNvPicPr/>
                  </pic:nvPicPr>
                  <pic:blipFill>
                    <a:blip r:embed="rId13"/>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w:t>
      </w:r>
    </w:p>
    <w:p>
      <w:pPr>
        <w:spacing w:before="80" w:after="160"/>
        <w:ind w:left="115" w:right="115"/>
        <w:shd w:fill="F5F0E6"/>
      </w:pPr>
      <w:r>
        <w:rPr>
          <w:rFonts w:ascii="Calibri" w:hAnsi="Calibri"/>
          <w:b/>
          <w:i w:val="0"/>
          <w:color w:val="C66B32"/>
          <w:sz w:val="21"/>
        </w:rPr>
        <w:t xml:space="preserve">Application Clairière — </w:t>
      </w:r>
      <w:r>
        <w:rPr>
          <w:rFonts w:ascii="Calibri" w:hAnsi="Calibri"/>
          <w:b w:val="0"/>
          <w:i w:val="0"/>
          <w:color w:val="252A2C"/>
          <w:sz w:val="21"/>
        </w:rPr>
        <w:t>Formuler la décision Clairière sur trente ans, puis positionner consommation mesurée, inventaire matière partiel et retours d'occupants avec leur statut, leur limite et leur prochain contrôle.</w:t>
      </w:r>
    </w:p>
    <w:p>
      <w:pPr>
        <w:spacing w:before="80" w:after="160"/>
        <w:ind w:left="115" w:right="115"/>
        <w:shd w:fill="F3F5F3"/>
      </w:pPr>
      <w:r>
        <w:rPr>
          <w:rFonts w:ascii="Calibri" w:hAnsi="Calibri"/>
          <w:b/>
          <w:i w:val="0"/>
          <w:color w:val="C66B32"/>
          <w:sz w:val="21"/>
        </w:rPr>
        <w:t xml:space="preserve">Production obligatoire — </w:t>
      </w:r>
      <w:r>
        <w:rPr>
          <w:rFonts w:ascii="Calibri" w:hAnsi="Calibri"/>
          <w:b w:val="0"/>
          <w:i w:val="0"/>
          <w:color w:val="252A2C"/>
          <w:sz w:val="21"/>
        </w:rPr>
        <w:t>fiche de cadrage et Boussole environnementale IEB complétées</w:t>
      </w:r>
    </w:p>
    <w:p>
      <w:r>
        <w:rPr>
          <w:rFonts w:ascii="Calibri" w:hAnsi="Calibri"/>
          <w:b w:val="0"/>
          <w:i w:val="0"/>
          <w:color w:val="252A2C"/>
          <w:sz w:val="22"/>
        </w:rPr>
        <w:t>Repères sourcés : A01-C001 · A01-C002 · A01-C003 · A01-C004 · A01-C005 · A01-C006 · A01-C007.</w:t>
      </w:r>
    </w:p>
    <w:p>
      <w:pPr>
        <w:pStyle w:val="Heading1"/>
        <w:pageBreakBefore/>
      </w:pPr>
      <w:r>
        <w:rPr>
          <w:rFonts w:ascii="Calibri" w:hAnsi="Calibri"/>
          <w:b/>
          <w:i w:val="0"/>
          <w:color w:val="24493D"/>
          <w:sz w:val="32"/>
        </w:rPr>
        <w:t>Unité 2 — Lire les données sur le cycle de vie avant de comparer — 30 minutes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Refuser les rapprochements trompeurs et qualifier une donnée avant de lire son résultat.</w:t>
      </w:r>
    </w:p>
    <w:p>
      <w:pPr>
        <w:pStyle w:val="Heading2"/>
        <w:pageBreakBefore w:val="0"/>
      </w:pPr>
      <w:r>
        <w:rPr>
          <w:rFonts w:ascii="Calibri" w:hAnsi="Calibri"/>
          <w:b/>
          <w:i w:val="0"/>
          <w:color w:val="C66B32"/>
          <w:sz w:val="26"/>
        </w:rPr>
        <w:t>Sujet 3 — Lire une ACV bâtiment</w:t>
      </w:r>
    </w:p>
    <w:p>
      <w:r>
        <w:rPr>
          <w:rFonts w:ascii="Calibri" w:hAnsi="Calibri"/>
          <w:b w:val="0"/>
          <w:i w:val="0"/>
          <w:color w:val="252A2C"/>
          <w:sz w:val="22"/>
        </w:rPr>
        <w:t>Vérifier le même service, la même période, les mêmes étapes, les mêmes indicateurs, les remplacements, les scénarios et la visibilité des données manquantes.</w:t>
      </w:r>
    </w:p>
    <w:p>
      <w:pPr>
        <w:pStyle w:val="Heading2"/>
        <w:pageBreakBefore w:val="0"/>
      </w:pPr>
      <w:r>
        <w:rPr>
          <w:rFonts w:ascii="Calibri" w:hAnsi="Calibri"/>
          <w:b/>
          <w:i w:val="0"/>
          <w:color w:val="C66B32"/>
          <w:sz w:val="26"/>
        </w:rPr>
        <w:t>Sujet 4 — Qualifier FDES ou PEP</w:t>
      </w:r>
    </w:p>
    <w:p>
      <w:r>
        <w:rPr>
          <w:rFonts w:ascii="Calibri" w:hAnsi="Calibri"/>
          <w:b w:val="0"/>
          <w:i w:val="0"/>
          <w:color w:val="252A2C"/>
          <w:sz w:val="22"/>
        </w:rPr>
        <w:t>Lire type de déclaration, émetteur, produit ou équipement, unité fonctionnelle, durée de vie, étapes, date, validité, quantité projet et limites avant toute valeur d'impact.</w:t>
      </w:r>
    </w:p>
    <w:p>
      <w:pPr>
        <w:pStyle w:val="Heading2"/>
        <w:pageBreakBefore w:val="0"/>
      </w:pPr>
      <w:r>
        <w:rPr>
          <w:rFonts w:ascii="Calibri" w:hAnsi="Calibri"/>
          <w:b/>
          <w:i w:val="0"/>
          <w:color w:val="C66B32"/>
          <w:sz w:val="26"/>
        </w:rPr>
        <w:t>Méthode de travail</w:t>
      </w:r>
    </w:p>
    <w:p>
      <w:pPr>
        <w:pStyle w:val="ListBullet"/>
      </w:pPr>
      <w:r>
        <w:rPr>
          <w:rFonts w:ascii="Calibri" w:hAnsi="Calibri"/>
          <w:b w:val="0"/>
          <w:i w:val="0"/>
          <w:color w:val="252A2C"/>
          <w:sz w:val="22"/>
        </w:rPr>
        <w:t>Identifier l'objet et le service rendu par la donnée.</w:t>
      </w:r>
    </w:p>
    <w:p>
      <w:pPr>
        <w:pStyle w:val="ListBullet"/>
      </w:pPr>
      <w:r>
        <w:rPr>
          <w:rFonts w:ascii="Calibri" w:hAnsi="Calibri"/>
          <w:b w:val="0"/>
          <w:i w:val="0"/>
          <w:color w:val="252A2C"/>
          <w:sz w:val="22"/>
        </w:rPr>
        <w:t>Aligner quantité, unité, durée de vie et horizon d'étude.</w:t>
      </w:r>
    </w:p>
    <w:p>
      <w:pPr>
        <w:pStyle w:val="ListBullet"/>
      </w:pPr>
      <w:r>
        <w:rPr>
          <w:rFonts w:ascii="Calibri" w:hAnsi="Calibri"/>
          <w:b w:val="0"/>
          <w:i w:val="0"/>
          <w:color w:val="252A2C"/>
          <w:sz w:val="22"/>
        </w:rPr>
        <w:t>Comparer étapes du cycle de vie, indicateurs, hypothèses et exclusions.</w:t>
      </w:r>
    </w:p>
    <w:p>
      <w:pPr>
        <w:pStyle w:val="ListBullet"/>
      </w:pPr>
      <w:r>
        <w:rPr>
          <w:rFonts w:ascii="Calibri" w:hAnsi="Calibri"/>
          <w:b w:val="0"/>
          <w:i w:val="0"/>
          <w:color w:val="252A2C"/>
          <w:sz w:val="22"/>
        </w:rPr>
        <w:t>Vérifier date, validité, population couverte et adéquation au projet.</w:t>
      </w:r>
    </w:p>
    <w:p>
      <w:pPr>
        <w:pStyle w:val="ListBullet"/>
      </w:pPr>
      <w:r>
        <w:rPr>
          <w:rFonts w:ascii="Calibri" w:hAnsi="Calibri"/>
          <w:b w:val="0"/>
          <w:i w:val="0"/>
          <w:color w:val="252A2C"/>
          <w:sz w:val="22"/>
        </w:rPr>
        <w:t>Décider : comparable, comparable sous condition ou non comparable en l'état.</w:t>
      </w:r>
    </w:p>
    <w:p>
      <w:pPr>
        <w:jc w:val="center"/>
      </w:pPr>
      <w:r>
        <w:drawing>
          <wp:inline xmlns:a="http://schemas.openxmlformats.org/drawingml/2006/main" xmlns:pic="http://schemas.openxmlformats.org/drawingml/2006/picture">
            <wp:extent cx="5486400" cy="3291840"/>
            <wp:docPr id="3" name="Picture 3" descr="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 title="Illustration originale IEB"/>
            <wp:cNvGraphicFramePr>
              <a:graphicFrameLocks noChangeAspect="1"/>
            </wp:cNvGraphicFramePr>
            <a:graphic>
              <a:graphicData uri="http://schemas.openxmlformats.org/drawingml/2006/picture">
                <pic:pic>
                  <pic:nvPicPr>
                    <pic:cNvPr id="0" name="ieb-asset-a01-000002__portes-comparabilite-donnees__v0.1.0.png"/>
                    <pic:cNvPicPr/>
                  </pic:nvPicPr>
                  <pic:blipFill>
                    <a:blip r:embed="rId14"/>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w:t>
      </w:r>
    </w:p>
    <w:p>
      <w:pPr>
        <w:spacing w:before="80" w:after="160"/>
        <w:ind w:left="115" w:right="115"/>
        <w:shd w:fill="F5F0E6"/>
      </w:pPr>
      <w:r>
        <w:rPr>
          <w:rFonts w:ascii="Calibri" w:hAnsi="Calibri"/>
          <w:b/>
          <w:i w:val="0"/>
          <w:color w:val="C66B32"/>
          <w:sz w:val="21"/>
        </w:rPr>
        <w:t xml:space="preserve">Application Clairière — </w:t>
      </w:r>
      <w:r>
        <w:rPr>
          <w:rFonts w:ascii="Calibri" w:hAnsi="Calibri"/>
          <w:b w:val="0"/>
          <w:i w:val="0"/>
          <w:color w:val="252A2C"/>
          <w:sz w:val="21"/>
        </w:rPr>
        <w:t>Appliquer les quatre portes de comparabilité aux fiches fictives D-A, D-B et D-C. Expliquer pourquoi une valeur par mètre carré et une valeur par kilogramme en sortie d'usine ne se comparent pas directement.</w:t>
      </w:r>
    </w:p>
    <w:p>
      <w:pPr>
        <w:spacing w:before="80" w:after="160"/>
        <w:ind w:left="115" w:right="115"/>
        <w:shd w:fill="F3F5F3"/>
      </w:pPr>
      <w:r>
        <w:rPr>
          <w:rFonts w:ascii="Calibri" w:hAnsi="Calibri"/>
          <w:b/>
          <w:i w:val="0"/>
          <w:color w:val="C66B32"/>
          <w:sz w:val="21"/>
        </w:rPr>
        <w:t xml:space="preserve">Production obligatoire — </w:t>
      </w:r>
      <w:r>
        <w:rPr>
          <w:rFonts w:ascii="Calibri" w:hAnsi="Calibri"/>
          <w:b w:val="0"/>
          <w:i w:val="0"/>
          <w:color w:val="252A2C"/>
          <w:sz w:val="21"/>
        </w:rPr>
        <w:t>fiche de comparabilité et registre des limites</w:t>
      </w:r>
    </w:p>
    <w:p>
      <w:r>
        <w:rPr>
          <w:rFonts w:ascii="Calibri" w:hAnsi="Calibri"/>
          <w:b w:val="0"/>
          <w:i w:val="0"/>
          <w:color w:val="252A2C"/>
          <w:sz w:val="22"/>
        </w:rPr>
        <w:t>Repères sourcés : A01-C008 · A01-C009 · A01-C010 · A01-C011 · A01-C012 · A01-C013 · A01-C014 · A01-C015.</w:t>
      </w:r>
    </w:p>
    <w:p>
      <w:pPr>
        <w:pStyle w:val="Heading1"/>
        <w:pageBreakBefore/>
      </w:pPr>
      <w:r>
        <w:rPr>
          <w:rFonts w:ascii="Calibri" w:hAnsi="Calibri"/>
          <w:b/>
          <w:i w:val="0"/>
          <w:color w:val="24493D"/>
          <w:sz w:val="32"/>
        </w:rPr>
        <w:t>Unité 3 — Arbitrer conservation, rénovation, réemploi et construction — 30 minutes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Comparer conservation, rénovation-réemploi et extension sans effacer les transferts d'impact ni les incertitudes.</w:t>
      </w:r>
    </w:p>
    <w:p>
      <w:pPr>
        <w:pStyle w:val="Heading2"/>
        <w:pageBreakBefore w:val="0"/>
      </w:pPr>
      <w:r>
        <w:rPr>
          <w:rFonts w:ascii="Calibri" w:hAnsi="Calibri"/>
          <w:b/>
          <w:i w:val="0"/>
          <w:color w:val="C66B32"/>
          <w:sz w:val="26"/>
        </w:rPr>
        <w:t>Sujet 5 — Construire les variantes</w:t>
      </w:r>
    </w:p>
    <w:p>
      <w:r>
        <w:rPr>
          <w:rFonts w:ascii="Calibri" w:hAnsi="Calibri"/>
          <w:b w:val="0"/>
          <w:i w:val="0"/>
          <w:color w:val="252A2C"/>
          <w:sz w:val="22"/>
        </w:rPr>
        <w:t>Décrire un état de référence complet et trois variantes rendant la même fonction sur la même période. Chaque cellule de la matrice porte observation, statut, périmètre, limite et contrôle.</w:t>
      </w:r>
    </w:p>
    <w:p>
      <w:pPr>
        <w:pStyle w:val="Heading2"/>
        <w:pageBreakBefore w:val="0"/>
      </w:pPr>
      <w:r>
        <w:rPr>
          <w:rFonts w:ascii="Calibri" w:hAnsi="Calibri"/>
          <w:b/>
          <w:i w:val="0"/>
          <w:color w:val="C66B32"/>
          <w:sz w:val="26"/>
        </w:rPr>
        <w:t>Sujet 6 — Tracer matière et réemploi</w:t>
      </w:r>
    </w:p>
    <w:p>
      <w:r>
        <w:rPr>
          <w:rFonts w:ascii="Calibri" w:hAnsi="Calibri"/>
          <w:b w:val="0"/>
          <w:i w:val="0"/>
          <w:color w:val="252A2C"/>
          <w:sz w:val="22"/>
        </w:rPr>
        <w:t>Distinguer repérage, qualification, destination, dépose, résultat observé et écart. Une intention de réemploi n'est jamais comptée comme un résultat acquis.</w:t>
      </w:r>
    </w:p>
    <w:p>
      <w:pPr>
        <w:pStyle w:val="Heading2"/>
        <w:pageBreakBefore w:val="0"/>
      </w:pPr>
      <w:r>
        <w:rPr>
          <w:rFonts w:ascii="Calibri" w:hAnsi="Calibri"/>
          <w:b/>
          <w:i w:val="0"/>
          <w:color w:val="C66B32"/>
          <w:sz w:val="26"/>
        </w:rPr>
        <w:t>Méthode de travail</w:t>
      </w:r>
    </w:p>
    <w:p>
      <w:pPr>
        <w:pStyle w:val="ListBullet"/>
      </w:pPr>
      <w:r>
        <w:rPr>
          <w:rFonts w:ascii="Calibri" w:hAnsi="Calibri"/>
          <w:b w:val="0"/>
          <w:i w:val="0"/>
          <w:color w:val="252A2C"/>
          <w:sz w:val="22"/>
        </w:rPr>
        <w:t>Décrire l'état de référence comme un scénario, pas comme l'absence d'action.</w:t>
      </w:r>
    </w:p>
    <w:p>
      <w:pPr>
        <w:pStyle w:val="ListBullet"/>
      </w:pPr>
      <w:r>
        <w:rPr>
          <w:rFonts w:ascii="Calibri" w:hAnsi="Calibri"/>
          <w:b w:val="0"/>
          <w:i w:val="0"/>
          <w:color w:val="252A2C"/>
          <w:sz w:val="22"/>
        </w:rPr>
        <w:t>Comparer V1, V2 et V3 sur une fonction et un horizon communs.</w:t>
      </w:r>
    </w:p>
    <w:p>
      <w:pPr>
        <w:pStyle w:val="ListBullet"/>
      </w:pPr>
      <w:r>
        <w:rPr>
          <w:rFonts w:ascii="Calibri" w:hAnsi="Calibri"/>
          <w:b w:val="0"/>
          <w:i w:val="0"/>
          <w:color w:val="252A2C"/>
          <w:sz w:val="22"/>
        </w:rPr>
        <w:t>Nommer ce qui s'améliore, ce qui se dégrade et ce qui reste incomplet.</w:t>
      </w:r>
    </w:p>
    <w:p>
      <w:pPr>
        <w:pStyle w:val="ListBullet"/>
      </w:pPr>
      <w:r>
        <w:rPr>
          <w:rFonts w:ascii="Calibri" w:hAnsi="Calibri"/>
          <w:b w:val="0"/>
          <w:i w:val="0"/>
          <w:color w:val="252A2C"/>
          <w:sz w:val="22"/>
        </w:rPr>
        <w:t>Ouvrir une chaîne de preuve pour chaque gisement de réemploi.</w:t>
      </w:r>
    </w:p>
    <w:p>
      <w:pPr>
        <w:pStyle w:val="ListBullet"/>
      </w:pPr>
      <w:r>
        <w:rPr>
          <w:rFonts w:ascii="Calibri" w:hAnsi="Calibri"/>
          <w:b w:val="0"/>
          <w:i w:val="0"/>
          <w:color w:val="252A2C"/>
          <w:sz w:val="22"/>
        </w:rPr>
        <w:t>Prévoir maintenance, remplacements, fin de vie et contrôle d'exécution.</w:t>
      </w:r>
    </w:p>
    <w:p>
      <w:pPr>
        <w:jc w:val="center"/>
      </w:pPr>
      <w:r>
        <w:drawing>
          <wp:inline xmlns:a="http://schemas.openxmlformats.org/drawingml/2006/main" xmlns:pic="http://schemas.openxmlformats.org/drawingml/2006/picture">
            <wp:extent cx="5486400" cy="3291840"/>
            <wp:docPr id="4" name="Picture 4" descr="Trois cartes décrivent la conservation, la rénovation avec réemploi et l'extension. Quatre lignes mettent en regard énergie d'exploitation, matière et travaux, santé et confort, continuité d'usage, avec leur statut et leur limite. Le schéma rappelle qu'aucun classement automatique n'est permis." title="Illustration originale IEB"/>
            <wp:cNvGraphicFramePr>
              <a:graphicFrameLocks noChangeAspect="1"/>
            </wp:cNvGraphicFramePr>
            <a:graphic>
              <a:graphicData uri="http://schemas.openxmlformats.org/drawingml/2006/picture">
                <pic:pic>
                  <pic:nvPicPr>
                    <pic:cNvPr id="0" name="ieb-asset-a01-000003__transferts-variantes-clairiere__v0.1.0.png"/>
                    <pic:cNvPicPr/>
                  </pic:nvPicPr>
                  <pic:blipFill>
                    <a:blip r:embed="rId15"/>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Trois cartes décrivent la conservation, la rénovation avec réemploi et l'extension. Quatre lignes mettent en regard énergie d'exploitation, matière et travaux, santé et confort, continuité d'usage, avec leur statut et leur limite. Le schéma rappelle qu'aucun classement automatique n'est permis.</w:t>
      </w:r>
    </w:p>
    <w:p>
      <w:pPr>
        <w:spacing w:before="80" w:after="160"/>
        <w:ind w:left="115" w:right="115"/>
        <w:shd w:fill="F5F0E6"/>
      </w:pPr>
      <w:r>
        <w:rPr>
          <w:rFonts w:ascii="Calibri" w:hAnsi="Calibri"/>
          <w:b/>
          <w:i w:val="0"/>
          <w:color w:val="C66B32"/>
          <w:sz w:val="21"/>
        </w:rPr>
        <w:t xml:space="preserve">Application Clairière — </w:t>
      </w:r>
      <w:r>
        <w:rPr>
          <w:rFonts w:ascii="Calibri" w:hAnsi="Calibri"/>
          <w:b w:val="0"/>
          <w:i w:val="0"/>
          <w:color w:val="252A2C"/>
          <w:sz w:val="21"/>
        </w:rPr>
        <w:t>Repérer au moins deux transferts entre V1, V2 et V3, puis transformer les 420 m² de cloisons potentiellement réemployables en registre de preuve sans annoncer de bénéfice acquis.</w:t>
      </w:r>
    </w:p>
    <w:p>
      <w:pPr>
        <w:spacing w:before="80" w:after="160"/>
        <w:ind w:left="115" w:right="115"/>
        <w:shd w:fill="F3F5F3"/>
      </w:pPr>
      <w:r>
        <w:rPr>
          <w:rFonts w:ascii="Calibri" w:hAnsi="Calibri"/>
          <w:b/>
          <w:i w:val="0"/>
          <w:color w:val="C66B32"/>
          <w:sz w:val="21"/>
        </w:rPr>
        <w:t xml:space="preserve">Production obligatoire — </w:t>
      </w:r>
      <w:r>
        <w:rPr>
          <w:rFonts w:ascii="Calibri" w:hAnsi="Calibri"/>
          <w:b w:val="0"/>
          <w:i w:val="0"/>
          <w:color w:val="252A2C"/>
          <w:sz w:val="21"/>
        </w:rPr>
        <w:t>matrice des variantes avec transferts, risques, données manquantes et contrôles</w:t>
      </w:r>
    </w:p>
    <w:p>
      <w:r>
        <w:rPr>
          <w:rFonts w:ascii="Calibri" w:hAnsi="Calibri"/>
          <w:b w:val="0"/>
          <w:i w:val="0"/>
          <w:color w:val="252A2C"/>
          <w:sz w:val="22"/>
        </w:rPr>
        <w:t>Repères sourcés : A01-C016 · A01-C017 · A01-C018 · A01-C019 · A01-C027 · A01-C028.</w:t>
      </w:r>
    </w:p>
    <w:p>
      <w:pPr>
        <w:pStyle w:val="Heading1"/>
        <w:pageBreakBefore/>
      </w:pPr>
      <w:r>
        <w:rPr>
          <w:rFonts w:ascii="Calibri" w:hAnsi="Calibri"/>
          <w:b/>
          <w:i w:val="0"/>
          <w:color w:val="24493D"/>
          <w:sz w:val="32"/>
        </w:rPr>
        <w:t>Unité 4 — Décider, suivre les usages et conserver une preuve honnête — 30 minutes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Produire une recommandation proportionnée, attribuer les contrôles et rendre la décision réouvrable.</w:t>
      </w:r>
    </w:p>
    <w:p>
      <w:pPr>
        <w:pStyle w:val="Heading2"/>
        <w:pageBreakBefore w:val="0"/>
      </w:pPr>
      <w:r>
        <w:rPr>
          <w:rFonts w:ascii="Calibri" w:hAnsi="Calibri"/>
          <w:b/>
          <w:i w:val="0"/>
          <w:color w:val="C66B32"/>
          <w:sz w:val="26"/>
        </w:rPr>
        <w:t>Sujet 7 — Préparer le suivi d'usage</w:t>
      </w:r>
    </w:p>
    <w:p>
      <w:r>
        <w:rPr>
          <w:rFonts w:ascii="Calibri" w:hAnsi="Calibri"/>
          <w:b w:val="0"/>
          <w:i w:val="0"/>
          <w:color w:val="252A2C"/>
          <w:sz w:val="22"/>
        </w:rPr>
        <w:t>Relier énergie, confort d'été, air intérieur, maintenance, eaux pluviales, aléas et biodiversité à des mesures, responsables, règles de projet et actions en cas d'écart.</w:t>
      </w:r>
    </w:p>
    <w:p>
      <w:pPr>
        <w:pStyle w:val="Heading2"/>
        <w:pageBreakBefore w:val="0"/>
      </w:pPr>
      <w:r>
        <w:rPr>
          <w:rFonts w:ascii="Calibri" w:hAnsi="Calibri"/>
          <w:b/>
          <w:i w:val="0"/>
          <w:color w:val="C66B32"/>
          <w:sz w:val="26"/>
        </w:rPr>
        <w:t>Sujet 8 — Rédiger et journaliser</w:t>
      </w:r>
    </w:p>
    <w:p>
      <w:r>
        <w:rPr>
          <w:rFonts w:ascii="Calibri" w:hAnsi="Calibri"/>
          <w:b w:val="0"/>
          <w:i w:val="0"/>
          <w:color w:val="252A2C"/>
          <w:sz w:val="22"/>
        </w:rPr>
        <w:t>Séparer portée, faits, données, hypothèses, comparaison, incertitudes, recommandation, conditions, responsabilités et événements de réouverture.</w:t>
      </w:r>
    </w:p>
    <w:p>
      <w:pPr>
        <w:pStyle w:val="Heading2"/>
        <w:pageBreakBefore w:val="0"/>
      </w:pPr>
      <w:r>
        <w:rPr>
          <w:rFonts w:ascii="Calibri" w:hAnsi="Calibri"/>
          <w:b/>
          <w:i w:val="0"/>
          <w:color w:val="C66B32"/>
          <w:sz w:val="26"/>
        </w:rPr>
        <w:t>Méthode de travail</w:t>
      </w:r>
    </w:p>
    <w:p>
      <w:pPr>
        <w:pStyle w:val="ListBullet"/>
      </w:pPr>
      <w:r>
        <w:rPr>
          <w:rFonts w:ascii="Calibri" w:hAnsi="Calibri"/>
          <w:b w:val="0"/>
          <w:i w:val="0"/>
          <w:color w:val="252A2C"/>
          <w:sz w:val="22"/>
        </w:rPr>
        <w:t>Qualifier les signaux de champ sans conclure automatiquement à l'assujettissement.</w:t>
      </w:r>
    </w:p>
    <w:p>
      <w:pPr>
        <w:pStyle w:val="ListBullet"/>
      </w:pPr>
      <w:r>
        <w:rPr>
          <w:rFonts w:ascii="Calibri" w:hAnsi="Calibri"/>
          <w:b w:val="0"/>
          <w:i w:val="0"/>
          <w:color w:val="252A2C"/>
          <w:sz w:val="22"/>
        </w:rPr>
        <w:t>Prévoir un contrôle d'exploitation par axe décisif.</w:t>
      </w:r>
    </w:p>
    <w:p>
      <w:pPr>
        <w:pStyle w:val="ListBullet"/>
      </w:pPr>
      <w:r>
        <w:rPr>
          <w:rFonts w:ascii="Calibri" w:hAnsi="Calibri"/>
          <w:b w:val="0"/>
          <w:i w:val="0"/>
          <w:color w:val="252A2C"/>
          <w:sz w:val="22"/>
        </w:rPr>
        <w:t>Rédiger une recommandation à ce stade et dans le périmètre déclaré.</w:t>
      </w:r>
    </w:p>
    <w:p>
      <w:pPr>
        <w:pStyle w:val="ListBullet"/>
      </w:pPr>
      <w:r>
        <w:rPr>
          <w:rFonts w:ascii="Calibri" w:hAnsi="Calibri"/>
          <w:b w:val="0"/>
          <w:i w:val="0"/>
          <w:color w:val="252A2C"/>
          <w:sz w:val="22"/>
        </w:rPr>
        <w:t>Nommer conditions, solution de repli, responsables et échéances.</w:t>
      </w:r>
    </w:p>
    <w:p>
      <w:pPr>
        <w:pStyle w:val="ListBullet"/>
      </w:pPr>
      <w:r>
        <w:rPr>
          <w:rFonts w:ascii="Calibri" w:hAnsi="Calibri"/>
          <w:b w:val="0"/>
          <w:i w:val="0"/>
          <w:color w:val="252A2C"/>
          <w:sz w:val="22"/>
        </w:rPr>
        <w:t>Journaliser la décision et l'événement qui impose de la rouvrir.</w:t>
      </w:r>
    </w:p>
    <w:p>
      <w:pPr>
        <w:jc w:val="center"/>
      </w:pPr>
      <w:r>
        <w:drawing>
          <wp:inline xmlns:a="http://schemas.openxmlformats.org/drawingml/2006/main" xmlns:pic="http://schemas.openxmlformats.org/drawingml/2006/picture">
            <wp:extent cx="5486400" cy="3291840"/>
            <wp:docPr id="5" name="Picture 5" descr="Sept étapes forment une boucle : cadrer, qualifier, comparer, recommander, attribuer, suivre et rouvrir. Au centre, la note d'arbitrage sépare faits et hypothèses, borne sa portée, nomme ses conditions et prévoit un événement de réouverture." title="Illustration originale IEB"/>
            <wp:cNvGraphicFramePr>
              <a:graphicFrameLocks noChangeAspect="1"/>
            </wp:cNvGraphicFramePr>
            <a:graphic>
              <a:graphicData uri="http://schemas.openxmlformats.org/drawingml/2006/picture">
                <pic:pic>
                  <pic:nvPicPr>
                    <pic:cNvPr id="0" name="ieb-asset-a01-000004__boucle-decision-controle-reouverture__v0.1.0.png"/>
                    <pic:cNvPicPr/>
                  </pic:nvPicPr>
                  <pic:blipFill>
                    <a:blip r:embed="rId16"/>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Sept étapes forment une boucle : cadrer, qualifier, comparer, recommander, attribuer, suivre et rouvrir. Au centre, la note d'arbitrage sépare faits et hypothèses, borne sa portée, nomme ses conditions et prévoit un événement de réouverture.</w:t>
      </w:r>
    </w:p>
    <w:p>
      <w:pPr>
        <w:spacing w:before="80" w:after="160"/>
        <w:ind w:left="115" w:right="115"/>
        <w:shd w:fill="F5F0E6"/>
      </w:pPr>
      <w:r>
        <w:rPr>
          <w:rFonts w:ascii="Calibri" w:hAnsi="Calibri"/>
          <w:b/>
          <w:i w:val="0"/>
          <w:color w:val="C66B32"/>
          <w:sz w:val="21"/>
        </w:rPr>
        <w:t xml:space="preserve">Application Clairière — </w:t>
      </w:r>
      <w:r>
        <w:rPr>
          <w:rFonts w:ascii="Calibri" w:hAnsi="Calibri"/>
          <w:b w:val="0"/>
          <w:i w:val="0"/>
          <w:color w:val="252A2C"/>
          <w:sz w:val="21"/>
        </w:rPr>
        <w:t>Rédiger une note d'arbitrage de 180 à 250 mots recommandant V2 pour approfondissement sous conditions, avec V1 comme repli et trois événements de réouverture.</w:t>
      </w:r>
    </w:p>
    <w:p>
      <w:pPr>
        <w:spacing w:before="80" w:after="160"/>
        <w:ind w:left="115" w:right="115"/>
        <w:shd w:fill="F3F5F3"/>
      </w:pPr>
      <w:r>
        <w:rPr>
          <w:rFonts w:ascii="Calibri" w:hAnsi="Calibri"/>
          <w:b/>
          <w:i w:val="0"/>
          <w:color w:val="C66B32"/>
          <w:sz w:val="21"/>
        </w:rPr>
        <w:t xml:space="preserve">Production obligatoire — </w:t>
      </w:r>
      <w:r>
        <w:rPr>
          <w:rFonts w:ascii="Calibri" w:hAnsi="Calibri"/>
          <w:b w:val="0"/>
          <w:i w:val="0"/>
          <w:color w:val="252A2C"/>
          <w:sz w:val="21"/>
        </w:rPr>
        <w:t>note d'arbitrage à portée bornée et journal de décision</w:t>
      </w:r>
    </w:p>
    <w:p>
      <w:r>
        <w:rPr>
          <w:rFonts w:ascii="Calibri" w:hAnsi="Calibri"/>
          <w:b w:val="0"/>
          <w:i w:val="0"/>
          <w:color w:val="252A2C"/>
          <w:sz w:val="22"/>
        </w:rPr>
        <w:t>Repères sourcés : A01-C020 · A01-C021 · A01-C022 · A01-C023 · A01-C024 · A01-C025 · A01-C026 · A01-C027.</w:t>
      </w:r>
    </w:p>
    <w:p>
      <w:pPr>
        <w:pStyle w:val="Heading1"/>
        <w:pageBreakBefore/>
      </w:pPr>
      <w:r>
        <w:rPr>
          <w:rFonts w:ascii="Calibri" w:hAnsi="Calibri"/>
          <w:b/>
          <w:i w:val="0"/>
          <w:color w:val="24493D"/>
          <w:sz w:val="32"/>
        </w:rPr>
        <w:t>Les dix réflexes</w:t>
      </w:r>
    </w:p>
    <w:p>
      <w:pPr>
        <w:pStyle w:val="ListBullet"/>
      </w:pPr>
      <w:r>
        <w:rPr>
          <w:rFonts w:ascii="Calibri" w:hAnsi="Calibri"/>
          <w:b w:val="0"/>
          <w:i w:val="0"/>
          <w:color w:val="252A2C"/>
          <w:sz w:val="22"/>
        </w:rPr>
        <w:t>Définir le service avant de comparer les solutions.</w:t>
      </w:r>
    </w:p>
    <w:p>
      <w:pPr>
        <w:pStyle w:val="ListBullet"/>
      </w:pPr>
      <w:r>
        <w:rPr>
          <w:rFonts w:ascii="Calibri" w:hAnsi="Calibri"/>
          <w:b w:val="0"/>
          <w:i w:val="0"/>
          <w:color w:val="252A2C"/>
          <w:sz w:val="22"/>
        </w:rPr>
        <w:t>Qualifier bâtiment, phase, usage, date et champ.</w:t>
      </w:r>
    </w:p>
    <w:p>
      <w:pPr>
        <w:pStyle w:val="ListBullet"/>
      </w:pPr>
      <w:r>
        <w:rPr>
          <w:rFonts w:ascii="Calibri" w:hAnsi="Calibri"/>
          <w:b w:val="0"/>
          <w:i w:val="0"/>
          <w:color w:val="252A2C"/>
          <w:sz w:val="22"/>
        </w:rPr>
        <w:t>Garder énergie, climat, eau, matière, santé, confort, adaptation et preuve visibles.</w:t>
      </w:r>
    </w:p>
    <w:p>
      <w:pPr>
        <w:pStyle w:val="ListBullet"/>
      </w:pPr>
      <w:r>
        <w:rPr>
          <w:rFonts w:ascii="Calibri" w:hAnsi="Calibri"/>
          <w:b w:val="0"/>
          <w:i w:val="0"/>
          <w:color w:val="252A2C"/>
          <w:sz w:val="22"/>
        </w:rPr>
        <w:t>Refuser une moyenne qui masque un risque ou une donnée absente.</w:t>
      </w:r>
    </w:p>
    <w:p>
      <w:pPr>
        <w:pStyle w:val="ListBullet"/>
      </w:pPr>
      <w:r>
        <w:rPr>
          <w:rFonts w:ascii="Calibri" w:hAnsi="Calibri"/>
          <w:b w:val="0"/>
          <w:i w:val="0"/>
          <w:color w:val="252A2C"/>
          <w:sz w:val="22"/>
        </w:rPr>
        <w:t>Comparer fonction, unité, durée, étapes, indicateurs et scénarios.</w:t>
      </w:r>
    </w:p>
    <w:p>
      <w:pPr>
        <w:pStyle w:val="ListBullet"/>
      </w:pPr>
      <w:r>
        <w:rPr>
          <w:rFonts w:ascii="Calibri" w:hAnsi="Calibri"/>
          <w:b w:val="0"/>
          <w:i w:val="0"/>
          <w:color w:val="252A2C"/>
          <w:sz w:val="22"/>
        </w:rPr>
        <w:t>Lire l'identité et la validité d'une donnée avant son résultat.</w:t>
      </w:r>
    </w:p>
    <w:p>
      <w:pPr>
        <w:pStyle w:val="ListBullet"/>
      </w:pPr>
      <w:r>
        <w:rPr>
          <w:rFonts w:ascii="Calibri" w:hAnsi="Calibri"/>
          <w:b w:val="0"/>
          <w:i w:val="0"/>
          <w:color w:val="252A2C"/>
          <w:sz w:val="22"/>
        </w:rPr>
        <w:t>Traiter l'état de référence comme un scénario complet.</w:t>
      </w:r>
    </w:p>
    <w:p>
      <w:pPr>
        <w:pStyle w:val="ListBullet"/>
      </w:pPr>
      <w:r>
        <w:rPr>
          <w:rFonts w:ascii="Calibri" w:hAnsi="Calibri"/>
          <w:b w:val="0"/>
          <w:i w:val="0"/>
          <w:color w:val="252A2C"/>
          <w:sz w:val="22"/>
        </w:rPr>
        <w:t>Distinguer potentiel de réemploi et résultat constaté.</w:t>
      </w:r>
    </w:p>
    <w:p>
      <w:pPr>
        <w:pStyle w:val="ListBullet"/>
      </w:pPr>
      <w:r>
        <w:rPr>
          <w:rFonts w:ascii="Calibri" w:hAnsi="Calibri"/>
          <w:b w:val="0"/>
          <w:i w:val="0"/>
          <w:color w:val="252A2C"/>
          <w:sz w:val="22"/>
        </w:rPr>
        <w:t>Préparer le suivi d'exploitation dès la décision.</w:t>
      </w:r>
    </w:p>
    <w:p>
      <w:pPr>
        <w:pStyle w:val="ListBullet"/>
      </w:pPr>
      <w:r>
        <w:rPr>
          <w:rFonts w:ascii="Calibri" w:hAnsi="Calibri"/>
          <w:b w:val="0"/>
          <w:i w:val="0"/>
          <w:color w:val="252A2C"/>
          <w:sz w:val="22"/>
        </w:rPr>
        <w:t>Recommander avec conditions, responsables et événements de réouverture.</w:t>
      </w:r>
    </w:p>
    <w:p>
      <w:pPr>
        <w:pStyle w:val="Heading1"/>
        <w:pageBreakBefore/>
      </w:pPr>
      <w:r>
        <w:rPr>
          <w:rFonts w:ascii="Calibri" w:hAnsi="Calibri"/>
          <w:b/>
          <w:i w:val="0"/>
          <w:color w:val="24493D"/>
          <w:sz w:val="32"/>
        </w:rPr>
        <w:t>Sources publiques mobilisées</w:t>
      </w:r>
    </w:p>
    <w:p>
      <w:r>
        <w:rPr>
          <w:rFonts w:ascii="Calibri" w:hAnsi="Calibri"/>
          <w:b w:val="0"/>
          <w:i w:val="0"/>
          <w:color w:val="252A2C"/>
          <w:sz w:val="22"/>
        </w:rPr>
        <w:t>A01-SRC-001 — Code de la construction et de l'habitation — article L171-1 — https://www.legifrance.gouv.fr/codes/article_lc/LEGIARTI000041569812</w:t>
      </w:r>
    </w:p>
    <w:p>
      <w:r>
        <w:rPr>
          <w:rFonts w:ascii="Calibri" w:hAnsi="Calibri"/>
          <w:b w:val="0"/>
          <w:i w:val="0"/>
          <w:color w:val="252A2C"/>
          <w:sz w:val="22"/>
        </w:rPr>
        <w:t>A01-SRC-002 — Réglementation environnementale RE2020 — https://www.ecologie.gouv.fr/politiques-publiques/reglementation-environnementale-re2020</w:t>
      </w:r>
    </w:p>
    <w:p>
      <w:r>
        <w:rPr>
          <w:rFonts w:ascii="Calibri" w:hAnsi="Calibri"/>
          <w:b w:val="0"/>
          <w:i w:val="0"/>
          <w:color w:val="252A2C"/>
          <w:sz w:val="22"/>
        </w:rPr>
        <w:t>A01-SRC-003 — L'ACV bâtiment — https://www.inies.fr/le-webservice/lacv-batiment/</w:t>
      </w:r>
    </w:p>
    <w:p>
      <w:r>
        <w:rPr>
          <w:rFonts w:ascii="Calibri" w:hAnsi="Calibri"/>
          <w:b w:val="0"/>
          <w:i w:val="0"/>
          <w:color w:val="252A2C"/>
          <w:sz w:val="22"/>
        </w:rPr>
        <w:t>A01-SRC-004 — FDES — Produits de construction — https://www.inies.fr/contenu-de-la-base/fdes-produits-de-construction/</w:t>
      </w:r>
    </w:p>
    <w:p>
      <w:r>
        <w:rPr>
          <w:rFonts w:ascii="Calibri" w:hAnsi="Calibri"/>
          <w:b w:val="0"/>
          <w:i w:val="0"/>
          <w:color w:val="252A2C"/>
          <w:sz w:val="22"/>
        </w:rPr>
        <w:t>A01-SRC-005 — Le diagnostic produits, équipements, matériaux et déchets (PEMD) — https://www.ecologie.gouv.fr/politiques-publiques/diagnostic-produits-equipements-materiaux-dechets-pemd</w:t>
      </w:r>
    </w:p>
    <w:p>
      <w:r>
        <w:rPr>
          <w:rFonts w:ascii="Calibri" w:hAnsi="Calibri"/>
          <w:b w:val="0"/>
          <w:i w:val="0"/>
          <w:color w:val="252A2C"/>
          <w:sz w:val="22"/>
        </w:rPr>
        <w:t>A01-SRC-006 — Éco Énergie Tertiaire (EET) — https://www.ecologie.gouv.fr/politiques-publiques/eco-energie-tertiaire-eet</w:t>
      </w:r>
    </w:p>
    <w:p>
      <w:r>
        <w:rPr>
          <w:rFonts w:ascii="Calibri" w:hAnsi="Calibri"/>
          <w:b w:val="0"/>
          <w:i w:val="0"/>
          <w:color w:val="252A2C"/>
          <w:sz w:val="22"/>
        </w:rPr>
        <w:t>A01-SRC-007 — Qualité de l'air intérieur — https://www.ecologie.gouv.fr/politiques-publiques/qualite-lair-interieur</w:t>
      </w:r>
    </w:p>
    <w:p>
      <w:r>
        <w:rPr>
          <w:rFonts w:ascii="Calibri" w:hAnsi="Calibri"/>
          <w:b w:val="0"/>
          <w:i w:val="0"/>
          <w:color w:val="252A2C"/>
          <w:sz w:val="22"/>
        </w:rPr>
        <w:t>A01-SRC-008 — Rénover et construire des bâtiments confortables, écologiques et économes — https://agirpourlatransition.ademe.fr/collectivites/conseils/elus/ecoconstruction-renovation-durable</w:t>
      </w:r>
    </w:p>
    <w:p>
      <w:pPr>
        <w:spacing w:before="80" w:after="160"/>
        <w:ind w:left="115" w:right="115"/>
        <w:shd w:fill="F3F5F3"/>
      </w:pPr>
      <w:r>
        <w:rPr>
          <w:rFonts w:ascii="Calibri" w:hAnsi="Calibri"/>
          <w:b/>
          <w:i w:val="0"/>
          <w:color w:val="C66B32"/>
          <w:sz w:val="21"/>
        </w:rPr>
        <w:t xml:space="preserve">Frontière — </w:t>
      </w:r>
      <w:r>
        <w:rPr>
          <w:rFonts w:ascii="Calibri" w:hAnsi="Calibri"/>
          <w:b w:val="0"/>
          <w:i w:val="0"/>
          <w:color w:val="252A2C"/>
          <w:sz w:val="21"/>
        </w:rPr>
        <w:t>La Boussole IEB, la fiche de comparabilité, la matrice de variantes et le journal de décision sont des créations pédagogiques IEB. Ils ne remplacent aucune méthode réglementaire, norme, certification ou compétence spécialisée.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A-01  |  Qualité environnementale du bâtiment  |  0.2.0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A-01  |  Qualité environnementale du bâtiment  |  0.2.0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A-01 - Support apprenant - 0.2.0</dc:title>
  <dc:subject>Qualité environnementale du bâtiment</dc:subject>
  <dc:creator>Institut de l'Expertise en Bâtiment</dc:creator>
  <cp:keywords>qualité environnementale, ACV, FDES, PEP, réemploi, Opération Clairière</cp:keywords>
  <dc:description>Opération Clairière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