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pPr>
      <w:r>
        <w:rPr>
          <w:rFonts w:ascii="Calibri" w:hAnsi="Calibri"/>
          <w:b/>
          <w:i w:val="0"/>
          <w:color w:val="C66B32"/>
          <w:sz w:val="18"/>
        </w:rPr>
        <w:t>N-01  |  PARCOURS NÉOEXPERT©</w:t>
      </w:r>
    </w:p>
    <w:p>
      <w:pPr>
        <w:pStyle w:val="Title"/>
      </w:pPr>
      <w:r>
        <w:rPr>
          <w:rFonts w:ascii="Calibri" w:hAnsi="Calibri"/>
          <w:b/>
          <w:i w:val="0"/>
          <w:color w:val="24493D"/>
          <w:sz w:val="52"/>
        </w:rPr>
        <w:t>SUPPORT APPRENANT — BLOC B1</w:t>
      </w:r>
    </w:p>
    <w:p>
      <w:r>
        <w:rPr>
          <w:rFonts w:ascii="Calibri" w:hAnsi="Calibri"/>
          <w:b/>
          <w:i w:val="0"/>
          <w:color w:val="315F78"/>
          <w:sz w:val="26"/>
        </w:rPr>
        <w:t>Pathologies, observation et diagnostic</w:t>
      </w:r>
    </w:p>
    <w:p>
      <w:pPr>
        <w:spacing w:before="80" w:after="160"/>
        <w:ind w:left="115" w:right="115"/>
        <w:shd w:fill="E9EFEA"/>
      </w:pPr>
      <w:r>
        <w:rPr>
          <w:rFonts w:ascii="Calibri" w:hAnsi="Calibri"/>
          <w:b/>
          <w:i w:val="0"/>
          <w:color w:val="C66B32"/>
          <w:sz w:val="21"/>
        </w:rPr>
        <w:t xml:space="preserve">Format — </w:t>
      </w:r>
      <w:r>
        <w:rPr>
          <w:rFonts w:ascii="Calibri" w:hAnsi="Calibri"/>
          <w:b w:val="0"/>
          <w:i w:val="0"/>
          <w:color w:val="252A2C"/>
          <w:sz w:val="21"/>
        </w:rPr>
        <w:t>2 940 minutes obligatoires | jours 1 à 7 | unités U01 à U14</w:t>
      </w:r>
    </w:p>
    <w:p>
      <w:pPr>
        <w:spacing w:before="80" w:after="160"/>
        <w:ind w:left="115" w:right="115"/>
        <w:shd w:fill="F3F5F3"/>
      </w:pPr>
      <w:r>
        <w:rPr>
          <w:rFonts w:ascii="Calibri" w:hAnsi="Calibri"/>
          <w:b/>
          <w:i w:val="0"/>
          <w:color w:val="C66B32"/>
          <w:sz w:val="21"/>
        </w:rPr>
        <w:t xml:space="preserve">Dossier pédagogique — </w:t>
      </w:r>
      <w:r>
        <w:rPr>
          <w:rFonts w:ascii="Calibri" w:hAnsi="Calibri"/>
          <w:b w:val="0"/>
          <w:i w:val="0"/>
          <w:color w:val="252A2C"/>
          <w:sz w:val="21"/>
        </w:rPr>
        <w:t>Traverse est entièrement fictif : aucun bâtiment, personne, adresse, entreprise, contrat ou fait réel.</w:t>
      </w:r>
    </w:p>
    <w:p>
      <w:r>
        <w:rPr>
          <w:rFonts w:ascii="Calibri" w:hAnsi="Calibri"/>
          <w:b w:val="0"/>
          <w:i/>
          <w:color w:val="252A2C"/>
          <w:sz w:val="22"/>
        </w:rPr>
        <w:t>Les documents guident l'activité obligatoire déjà comptée dans les 2 940 minutes du bloc B1 ; ils n'ajoutent aucune durée.</w:t>
      </w:r>
    </w:p>
    <w:p>
      <w:pPr>
        <w:spacing w:before="80" w:after="160"/>
        <w:ind w:left="115" w:right="115"/>
        <w:shd w:fill="E9EFEA"/>
      </w:pPr>
      <w:r>
        <w:rPr>
          <w:rFonts w:ascii="Calibri" w:hAnsi="Calibri"/>
          <w:b/>
          <w:i w:val="0"/>
          <w:color w:val="C66B32"/>
          <w:sz w:val="21"/>
        </w:rPr>
        <w:t xml:space="preserve">Réflexe central — </w:t>
      </w:r>
      <w:r>
        <w:rPr>
          <w:rFonts w:ascii="Calibri" w:hAnsi="Calibri"/>
          <w:b w:val="0"/>
          <w:i w:val="0"/>
          <w:color w:val="252A2C"/>
          <w:sz w:val="21"/>
        </w:rPr>
        <w:t>Décrire avant d'interpréter ; conserver plusieurs hypothèses ; relier chaque conclusion à une preuve et à une limite.</w:t>
      </w:r>
    </w:p>
    <w:p>
      <w:pPr>
        <w:pStyle w:val="Heading1"/>
        <w:pageBreakBefore/>
      </w:pPr>
      <w:r>
        <w:rPr>
          <w:rFonts w:ascii="Calibri" w:hAnsi="Calibri"/>
          <w:b/>
          <w:i w:val="0"/>
          <w:color w:val="24493D"/>
          <w:sz w:val="32"/>
        </w:rPr>
        <w:t>Progression du bloc</w:t>
      </w:r>
    </w:p>
    <w:tbl>
      <w:tblPr>
        <w:tblStyle w:val="TableGrid"/>
        <w:jc w:val="center"/>
        <w:tblLook w:firstColumn="1" w:firstRow="1" w:lastColumn="0" w:lastRow="0" w:noHBand="0" w:noVBand="1" w:val="04A0"/>
        <w:tblW w:w="9360" w:type="dxa"/>
        <w:tblInd w:w="120" w:type="dxa"/>
        <w:tblLayout w:type="fixed"/>
      </w:tblPr>
      <w:tblGrid>
        <w:gridCol w:w="1152"/>
        <w:gridCol w:w="1728"/>
        <w:gridCol w:w="6480"/>
      </w:tblGrid>
      <w:tr>
        <w:trPr>
          <w:tblHeader w:val="true"/>
          <w:cantSplit w:val="true"/>
        </w:trPr>
        <w:tc>
          <w:tcPr>
            <w:tcW w:type="dxa" w:w="1152"/>
            <w:shd w:fill="24493D"/>
            <w:tcMar>
              <w:top w:w="80" w:type="dxa"/>
              <w:start w:w="120" w:type="dxa"/>
              <w:bottom w:w="80" w:type="dxa"/>
              <w:end w:w="120" w:type="dxa"/>
            </w:tcMar>
            <w:vAlign w:val="center"/>
          </w:tcPr>
          <w:p>
            <w:pPr>
              <w:spacing w:after="0"/>
            </w:pPr>
            <w:r>
              <w:rPr>
                <w:rFonts w:ascii="Calibri" w:hAnsi="Calibri"/>
                <w:b/>
                <w:i w:val="0"/>
                <w:color w:val="FFFFFF"/>
                <w:sz w:val="18"/>
              </w:rPr>
              <w:t>Jour</w:t>
            </w:r>
          </w:p>
        </w:tc>
        <w:tc>
          <w:tcPr>
            <w:tcW w:type="dxa" w:w="1728"/>
            <w:shd w:fill="24493D"/>
            <w:tcMar>
              <w:top w:w="80" w:type="dxa"/>
              <w:start w:w="120" w:type="dxa"/>
              <w:bottom w:w="80" w:type="dxa"/>
              <w:end w:w="120" w:type="dxa"/>
            </w:tcMar>
            <w:vAlign w:val="center"/>
          </w:tcPr>
          <w:p>
            <w:pPr>
              <w:spacing w:after="0"/>
            </w:pPr>
            <w:r>
              <w:rPr>
                <w:rFonts w:ascii="Calibri" w:hAnsi="Calibri"/>
                <w:b/>
                <w:i w:val="0"/>
                <w:color w:val="FFFFFF"/>
                <w:sz w:val="18"/>
              </w:rPr>
              <w:t>Unités</w:t>
            </w:r>
          </w:p>
        </w:tc>
        <w:tc>
          <w:tcPr>
            <w:tcW w:type="dxa" w:w="6480"/>
            <w:shd w:fill="24493D"/>
            <w:tcMar>
              <w:top w:w="80" w:type="dxa"/>
              <w:start w:w="120" w:type="dxa"/>
              <w:bottom w:w="80" w:type="dxa"/>
              <w:end w:w="120" w:type="dxa"/>
            </w:tcMar>
            <w:vAlign w:val="center"/>
          </w:tcPr>
          <w:p>
            <w:pPr>
              <w:spacing w:after="0"/>
            </w:pPr>
            <w:r>
              <w:rPr>
                <w:rFonts w:ascii="Calibri" w:hAnsi="Calibri"/>
                <w:b/>
                <w:i w:val="0"/>
                <w:color w:val="FFFFFF"/>
                <w:sz w:val="18"/>
              </w:rPr>
              <w:t>Production dominante</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1</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U01-U02</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cadrage et observation neutre</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2</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U03-U04</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carte fonctionnelle et chronologie</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3</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U05-U06</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registre de preuve et hypothèses</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4</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U07-U08</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fissuration puis humidité</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5</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U09-U10</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matériaux et dossier multipathologique</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6</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U11-U12</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relevé et preuve visuelle ou textuelle</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7</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U13-U14</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contradiction et dossier B1</w:t>
            </w:r>
          </w:p>
        </w:tc>
      </w:tr>
    </w:tbl>
    <w:p>
      <w:pPr>
        <w:spacing w:after="20"/>
      </w:pPr>
    </w:p>
    <w:p>
      <w:pPr>
        <w:pStyle w:val="Heading1"/>
        <w:pageBreakBefore/>
      </w:pPr>
      <w:r>
        <w:rPr>
          <w:rFonts w:ascii="Calibri" w:hAnsi="Calibri"/>
          <w:b/>
          <w:i w:val="0"/>
          <w:color w:val="24493D"/>
          <w:sz w:val="32"/>
        </w:rPr>
        <w:t>IEB-N01-U01 — Jour 1 — Cadrer une intervention diagnostique sûre et bornée</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Définir le périmètre, les limites, les risques et les conditions d'arrêt d'une intervention à partir d'une demande synthétique.</w:t>
      </w:r>
    </w:p>
    <w:p>
      <w:r>
        <w:rPr>
          <w:rFonts w:ascii="Calibri" w:hAnsi="Calibri"/>
          <w:b w:val="0"/>
          <w:i w:val="0"/>
          <w:color w:val="252A2C"/>
          <w:sz w:val="22"/>
        </w:rPr>
        <w:t>Une intervention commence par une décision d'engagement, pas par une visite. La demande doit devenir une mission traitable avec objet, exclusions, accès, risques, conditions d'arrêt et relais.</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Reformuler la demande en questions observables.</w:t>
      </w:r>
    </w:p>
    <w:p>
      <w:pPr>
        <w:pStyle w:val="ListBullet"/>
      </w:pPr>
      <w:r>
        <w:rPr>
          <w:rFonts w:ascii="Calibri" w:hAnsi="Calibri"/>
          <w:b w:val="0"/>
          <w:i w:val="0"/>
          <w:color w:val="252A2C"/>
          <w:sz w:val="22"/>
        </w:rPr>
        <w:t>Identifier ce qui est inclus et explicitement exclu.</w:t>
      </w:r>
    </w:p>
    <w:p>
      <w:pPr>
        <w:pStyle w:val="ListBullet"/>
      </w:pPr>
      <w:r>
        <w:rPr>
          <w:rFonts w:ascii="Calibri" w:hAnsi="Calibri"/>
          <w:b w:val="0"/>
          <w:i w:val="0"/>
          <w:color w:val="252A2C"/>
          <w:sz w:val="22"/>
        </w:rPr>
        <w:t>Recenser accès, autorisations et coactivité.</w:t>
      </w:r>
    </w:p>
    <w:p>
      <w:pPr>
        <w:pStyle w:val="ListBullet"/>
      </w:pPr>
      <w:r>
        <w:rPr>
          <w:rFonts w:ascii="Calibri" w:hAnsi="Calibri"/>
          <w:b w:val="0"/>
          <w:i w:val="0"/>
          <w:color w:val="252A2C"/>
          <w:sz w:val="22"/>
        </w:rPr>
        <w:t>Fixer les risques non acceptables et les conditions d'arrêt.</w:t>
      </w:r>
    </w:p>
    <w:p>
      <w:pPr>
        <w:pStyle w:val="ListBullet"/>
      </w:pPr>
      <w:r>
        <w:rPr>
          <w:rFonts w:ascii="Calibri" w:hAnsi="Calibri"/>
          <w:b w:val="0"/>
          <w:i w:val="0"/>
          <w:color w:val="252A2C"/>
          <w:sz w:val="22"/>
        </w:rPr>
        <w:t>Attribuer chaque relais à une compétence ou une autorité.</w:t>
      </w:r>
    </w:p>
    <w:p>
      <w:pPr>
        <w:pStyle w:val="ListBullet"/>
      </w:pPr>
      <w:r>
        <w:rPr>
          <w:rFonts w:ascii="Calibri" w:hAnsi="Calibri"/>
          <w:b w:val="0"/>
          <w:i w:val="0"/>
          <w:color w:val="252A2C"/>
          <w:sz w:val="22"/>
        </w:rPr>
        <w:t>Consigner la décision d'engager, différer ou refuser.</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r>
        <w:rPr>
          <w:rFonts w:ascii="Calibri" w:hAnsi="Calibri"/>
          <w:b w:val="0"/>
          <w:i w:val="0"/>
          <w:color w:val="252A2C"/>
          <w:sz w:val="22"/>
        </w:rPr>
        <w:t>La prévention sur chantier commence en amont par l'anticipation des situations de coactivité, des choix techniques et de l'environnement du chantier. (N01-C034 ; N01-SRC-014 ; section Pas de projet de construction sans anticipation).</w:t>
      </w:r>
    </w:p>
    <w:p>
      <w:r>
        <w:rPr>
          <w:rFonts w:ascii="Calibri" w:hAnsi="Calibri"/>
          <w:b w:val="0"/>
          <w:i w:val="0"/>
          <w:color w:val="252A2C"/>
          <w:sz w:val="22"/>
        </w:rPr>
        <w:t>Un protocole pédagogique de visite doit donc prévoir les risques, les limites et les conditions d'arrêt avant la collecte de preuves. (N01-C035 ; N01-SRC-014 ; application pédagogique prudente de la section).</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Une demande urgente ne supprime ni l'autorisation, ni la sécurité, ni les limites de compétence.</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À partir de TRV-P001 et TRV-P002, produire la fiche de cadrage du site fictif et décider quelles opérations peuvent être préparées sans visite réelle.</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Orientation et diagnostic initial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IEB-N01-ACT-01-01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Apports guidés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IEB-N01-ACT-01-01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obligatoire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IEB-N01-ACT-01-01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IEB-N01-ACT-01-01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IEB-N01-DEL-01 — Fiche de cadrage, limites, risques, arrêts et relais.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Même analyse sur visite virtuelle textuelle et plan synthétique, avec preuve identique.</w:t>
      </w:r>
    </w:p>
    <w:p>
      <w:pPr>
        <w:pStyle w:val="Heading1"/>
        <w:pageBreakBefore/>
      </w:pPr>
      <w:r>
        <w:rPr>
          <w:rFonts w:ascii="Calibri" w:hAnsi="Calibri"/>
          <w:b/>
          <w:i w:val="0"/>
          <w:color w:val="24493D"/>
          <w:sz w:val="32"/>
        </w:rPr>
        <w:t>IEB-N01-U02 — Jour 1 — Observer et décrire sans conclure trop tôt</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Produire un relevé descriptif qui sépare signes observables, contexte et premières hypothèses.</w:t>
      </w:r>
    </w:p>
    <w:p>
      <w:r>
        <w:rPr>
          <w:rFonts w:ascii="Calibri" w:hAnsi="Calibri"/>
          <w:b w:val="0"/>
          <w:i w:val="0"/>
          <w:color w:val="252A2C"/>
          <w:sz w:val="22"/>
        </w:rPr>
        <w:t>Décrire, c'est rendre un signe vérifiable par une autre personne. Une observation localise une manifestation et ses conditions ; une interprétation propose déjà un sens.</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Attribuer un identifiant stable.</w:t>
      </w:r>
    </w:p>
    <w:p>
      <w:pPr>
        <w:pStyle w:val="ListBullet"/>
      </w:pPr>
      <w:r>
        <w:rPr>
          <w:rFonts w:ascii="Calibri" w:hAnsi="Calibri"/>
          <w:b w:val="0"/>
          <w:i w:val="0"/>
          <w:color w:val="252A2C"/>
          <w:sz w:val="22"/>
        </w:rPr>
        <w:t>Localiser par zone, niveau et repère.</w:t>
      </w:r>
    </w:p>
    <w:p>
      <w:pPr>
        <w:pStyle w:val="ListBullet"/>
      </w:pPr>
      <w:r>
        <w:rPr>
          <w:rFonts w:ascii="Calibri" w:hAnsi="Calibri"/>
          <w:b w:val="0"/>
          <w:i w:val="0"/>
          <w:color w:val="252A2C"/>
          <w:sz w:val="22"/>
        </w:rPr>
        <w:t>Décrire forme, étendue, orientation et contexte sans causalité.</w:t>
      </w:r>
    </w:p>
    <w:p>
      <w:pPr>
        <w:pStyle w:val="ListBullet"/>
      </w:pPr>
      <w:r>
        <w:rPr>
          <w:rFonts w:ascii="Calibri" w:hAnsi="Calibri"/>
          <w:b w:val="0"/>
          <w:i w:val="0"/>
          <w:color w:val="252A2C"/>
          <w:sz w:val="22"/>
        </w:rPr>
        <w:t>Séparer valeur mesurée et impression.</w:t>
      </w:r>
    </w:p>
    <w:p>
      <w:pPr>
        <w:pStyle w:val="ListBullet"/>
      </w:pPr>
      <w:r>
        <w:rPr>
          <w:rFonts w:ascii="Calibri" w:hAnsi="Calibri"/>
          <w:b w:val="0"/>
          <w:i w:val="0"/>
          <w:color w:val="252A2C"/>
          <w:sz w:val="22"/>
        </w:rPr>
        <w:t>Noter les conditions et limites d'observation.</w:t>
      </w:r>
    </w:p>
    <w:p>
      <w:pPr>
        <w:pStyle w:val="ListBullet"/>
      </w:pPr>
      <w:r>
        <w:rPr>
          <w:rFonts w:ascii="Calibri" w:hAnsi="Calibri"/>
          <w:b w:val="0"/>
          <w:i w:val="0"/>
          <w:color w:val="252A2C"/>
          <w:sz w:val="22"/>
        </w:rPr>
        <w:t>Ouvrir les hypothèses dans une rubrique distincte.</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r>
        <w:rPr>
          <w:rFonts w:ascii="Calibri" w:hAnsi="Calibri"/>
          <w:b w:val="0"/>
          <w:i w:val="0"/>
          <w:color w:val="252A2C"/>
          <w:sz w:val="22"/>
        </w:rPr>
        <w:t>Le retrait-gonflement des sols argileux correspond à des variations de volume liées aux variations d'humidité. (N01-C029 ; N01-SRC-012 ; section de présentation du phénomène).</w:t>
      </w:r>
    </w:p>
    <w:p>
      <w:r>
        <w:rPr>
          <w:rFonts w:ascii="Calibri" w:hAnsi="Calibri"/>
          <w:b w:val="0"/>
          <w:i w:val="0"/>
          <w:color w:val="252A2C"/>
          <w:sz w:val="22"/>
        </w:rPr>
        <w:t>L'exposition aux moisissures dans les environnements intérieurs constitue un enjeu de santé publique, notamment pour des personnes plus sensibles. (N01-C032 ; N01-SRC-013 ; synthèse et conclusions publiques, pages 16-17).</w:t>
      </w:r>
    </w:p>
    <w:p>
      <w:r>
        <w:rPr>
          <w:rFonts w:ascii="Calibri" w:hAnsi="Calibri"/>
          <w:b w:val="0"/>
          <w:i w:val="0"/>
          <w:color w:val="252A2C"/>
          <w:sz w:val="22"/>
        </w:rPr>
        <w:t>Ces mouvements peuvent provoquer des tassements différentiels et des désordres sur les fondations ou les parties visibles d'un bâtiment. (N01-C030 ; N01-SRC-012 ; section Quelles peuvent en être les conséquences ?).</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Les mots cause, défaut, mouvement, infiltration ou non-conformité sont des conclusions s'ils ne sont pas rattachés à une preuve.</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Réécrire TRV-O01 à TRV-O04 en constats neutres, puis placer les interprétations possibles dans une colonne séparée.</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Orientation et diagnostic initial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IEB-N01-ACT-02-01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Apports guidés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IEB-N01-ACT-02-01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obligatoire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IEB-N01-ACT-02-01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IEB-N01-ACT-02-01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IEB-N01-DEL-02 — Relevé descriptif localisé et légendé.</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Corpus textuel structuré et descriptions longues des indices visuels, sans perte de la preuve d'observation.</w:t>
      </w:r>
    </w:p>
    <w:p>
      <w:pPr>
        <w:pStyle w:val="Heading1"/>
        <w:pageBreakBefore/>
      </w:pPr>
      <w:r>
        <w:rPr>
          <w:rFonts w:ascii="Calibri" w:hAnsi="Calibri"/>
          <w:b/>
          <w:i w:val="0"/>
          <w:color w:val="24493D"/>
          <w:sz w:val="32"/>
        </w:rPr>
        <w:t>IEB-N01-U03 — Jour 2 — Lire le bâtiment comme un système d'interactions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Cartographier les ouvrages, interfaces, usages et conditions d'exposition utiles à une investigation.</w:t>
      </w:r>
    </w:p>
    <w:p>
      <w:r>
        <w:rPr>
          <w:rFonts w:ascii="Calibri" w:hAnsi="Calibri"/>
          <w:b w:val="0"/>
          <w:i w:val="0"/>
          <w:color w:val="252A2C"/>
          <w:sz w:val="22"/>
        </w:rPr>
        <w:t>Un bâtiment est un système : structure, enveloppe, équipements, usages, eau, air, sol et interventions antérieures interagissent. La carte fonctionnelle empêche d'isoler une manifestation de son environnement.</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Décomposer l'ouvrage par zones et fonctions.</w:t>
      </w:r>
    </w:p>
    <w:p>
      <w:pPr>
        <w:pStyle w:val="ListBullet"/>
      </w:pPr>
      <w:r>
        <w:rPr>
          <w:rFonts w:ascii="Calibri" w:hAnsi="Calibri"/>
          <w:b w:val="0"/>
          <w:i w:val="0"/>
          <w:color w:val="252A2C"/>
          <w:sz w:val="22"/>
        </w:rPr>
        <w:t>Repérer les interfaces entre ouvrages.</w:t>
      </w:r>
    </w:p>
    <w:p>
      <w:pPr>
        <w:pStyle w:val="ListBullet"/>
      </w:pPr>
      <w:r>
        <w:rPr>
          <w:rFonts w:ascii="Calibri" w:hAnsi="Calibri"/>
          <w:b w:val="0"/>
          <w:i w:val="0"/>
          <w:color w:val="252A2C"/>
          <w:sz w:val="22"/>
        </w:rPr>
        <w:t>Ajouter usages, expositions et flux.</w:t>
      </w:r>
    </w:p>
    <w:p>
      <w:pPr>
        <w:pStyle w:val="ListBullet"/>
      </w:pPr>
      <w:r>
        <w:rPr>
          <w:rFonts w:ascii="Calibri" w:hAnsi="Calibri"/>
          <w:b w:val="0"/>
          <w:i w:val="0"/>
          <w:color w:val="252A2C"/>
          <w:sz w:val="22"/>
        </w:rPr>
        <w:t>Relier les événements de la chronologie.</w:t>
      </w:r>
    </w:p>
    <w:p>
      <w:pPr>
        <w:pStyle w:val="ListBullet"/>
      </w:pPr>
      <w:r>
        <w:rPr>
          <w:rFonts w:ascii="Calibri" w:hAnsi="Calibri"/>
          <w:b w:val="0"/>
          <w:i w:val="0"/>
          <w:color w:val="252A2C"/>
          <w:sz w:val="22"/>
        </w:rPr>
        <w:t>Placer les observations sans leur attribuer de cause.</w:t>
      </w:r>
    </w:p>
    <w:p>
      <w:pPr>
        <w:pStyle w:val="ListBullet"/>
      </w:pPr>
      <w:r>
        <w:rPr>
          <w:rFonts w:ascii="Calibri" w:hAnsi="Calibri"/>
          <w:b w:val="0"/>
          <w:i w:val="0"/>
          <w:color w:val="252A2C"/>
          <w:sz w:val="22"/>
        </w:rPr>
        <w:t>Identifier les interfaces à vérifier en priorité.</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Dans son champ, l'aération des logements doit pouvoir être générale et permanente dans les conditions prévues par le texte. (N01-C052 ; N01-SRC-021 ; article 1).</w:t>
      </w:r>
    </w:p>
    <w:p>
      <w:r>
        <w:rPr>
          <w:rFonts w:ascii="Calibri" w:hAnsi="Calibri"/>
          <w:b w:val="0"/>
          <w:i w:val="0"/>
          <w:color w:val="252A2C"/>
          <w:sz w:val="22"/>
        </w:rPr>
        <w:t>Les sources de pollution de l'air intérieur sont multiples et peuvent être extérieures, liées aux matériaux, aux équipements ou aux activités humaines. (N01-C055 ; N01-SRC-022 ; section Origine de la pollution de l'air intérieur).</w:t>
      </w:r>
    </w:p>
    <w:p>
      <w:r>
        <w:rPr>
          <w:rFonts w:ascii="Calibri" w:hAnsi="Calibri"/>
          <w:b w:val="0"/>
          <w:i w:val="0"/>
          <w:color w:val="252A2C"/>
          <w:sz w:val="22"/>
        </w:rPr>
        <w:t>Le dispositif vise notamment des zones comportant un habitat dégradé ou ancien susceptible de présenter des fragilités structurelles. (N01-C061 ; N01-SRC-024 ; section L'essentiel).</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Une interaction plausible n'est pas une causalité démontrée ; elle sert à construire une investigation.</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Cartographier TRV-ZA, TRV-ZB et TRV-ZC, puis relier ventilation, matériaux, sol et historique aux quatre observations.</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Orientation et diagnostic initial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IEB-N01-ACT-03-01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Apports guidés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IEB-N01-ACT-03-01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obligatoire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IEB-N01-ACT-03-01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IEB-N01-ACT-03-01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IEB-N01-DEL-03 — Carte des ouvrages, interfaces, usages et expositions.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Carte numérique navigable au clavier avec ordre linéaire équivalent.</w:t>
      </w:r>
    </w:p>
    <w:p>
      <w:pPr>
        <w:pStyle w:val="Heading1"/>
        <w:pageBreakBefore/>
      </w:pPr>
      <w:r>
        <w:rPr>
          <w:rFonts w:ascii="Calibri" w:hAnsi="Calibri"/>
          <w:b/>
          <w:i w:val="0"/>
          <w:color w:val="24493D"/>
          <w:sz w:val="32"/>
        </w:rPr>
        <w:t>IEB-N01-U04 — Jour 2 — Reconstruire l'historique et le contexte d'un désordre</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Établir une chronologie sourcée des travaux, usages, événements et manifestations observées.</w:t>
      </w:r>
    </w:p>
    <w:p>
      <w:r>
        <w:rPr>
          <w:rFonts w:ascii="Calibri" w:hAnsi="Calibri"/>
          <w:b w:val="0"/>
          <w:i w:val="0"/>
          <w:color w:val="252A2C"/>
          <w:sz w:val="22"/>
        </w:rPr>
        <w:t>La chronologie distingue les événements documentés, les déclarations et les lacunes. Elle permet de tester l'antériorité, la concomitance et les changements de contexte sans confondre succession et causalité.</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Inventorier chaque date et sa source.</w:t>
      </w:r>
    </w:p>
    <w:p>
      <w:pPr>
        <w:pStyle w:val="ListBullet"/>
      </w:pPr>
      <w:r>
        <w:rPr>
          <w:rFonts w:ascii="Calibri" w:hAnsi="Calibri"/>
          <w:b w:val="0"/>
          <w:i w:val="0"/>
          <w:color w:val="252A2C"/>
          <w:sz w:val="22"/>
        </w:rPr>
        <w:t>Normaliser les dates relatives et les versions.</w:t>
      </w:r>
    </w:p>
    <w:p>
      <w:pPr>
        <w:pStyle w:val="ListBullet"/>
      </w:pPr>
      <w:r>
        <w:rPr>
          <w:rFonts w:ascii="Calibri" w:hAnsi="Calibri"/>
          <w:b w:val="0"/>
          <w:i w:val="0"/>
          <w:color w:val="252A2C"/>
          <w:sz w:val="22"/>
        </w:rPr>
        <w:t>Qualifier le niveau de certitude.</w:t>
      </w:r>
    </w:p>
    <w:p>
      <w:pPr>
        <w:pStyle w:val="ListBullet"/>
      </w:pPr>
      <w:r>
        <w:rPr>
          <w:rFonts w:ascii="Calibri" w:hAnsi="Calibri"/>
          <w:b w:val="0"/>
          <w:i w:val="0"/>
          <w:color w:val="252A2C"/>
          <w:sz w:val="22"/>
        </w:rPr>
        <w:t>Placer travaux, usages, météo et manifestations sur des lignes distinctes.</w:t>
      </w:r>
    </w:p>
    <w:p>
      <w:pPr>
        <w:pStyle w:val="ListBullet"/>
      </w:pPr>
      <w:r>
        <w:rPr>
          <w:rFonts w:ascii="Calibri" w:hAnsi="Calibri"/>
          <w:b w:val="0"/>
          <w:i w:val="0"/>
          <w:color w:val="252A2C"/>
          <w:sz w:val="22"/>
        </w:rPr>
        <w:t>Signaler contradictions et périodes muettes.</w:t>
      </w:r>
    </w:p>
    <w:p>
      <w:pPr>
        <w:pStyle w:val="ListBullet"/>
      </w:pPr>
      <w:r>
        <w:rPr>
          <w:rFonts w:ascii="Calibri" w:hAnsi="Calibri"/>
          <w:b w:val="0"/>
          <w:i w:val="0"/>
          <w:color w:val="252A2C"/>
          <w:sz w:val="22"/>
        </w:rPr>
        <w:t>Formuler les questions que la chronologie ne résout pas.</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r>
        <w:rPr>
          <w:rFonts w:ascii="Calibri" w:hAnsi="Calibri"/>
          <w:b w:val="0"/>
          <w:i w:val="0"/>
          <w:color w:val="252A2C"/>
          <w:sz w:val="22"/>
        </w:rPr>
        <w:t>Le retrait-gonflement des sols argileux correspond à des variations de volume liées aux variations d'humidité. (N01-C029 ; N01-SRC-012 ; section de présentation du phénomène).</w:t>
      </w:r>
    </w:p>
    <w:p>
      <w:r>
        <w:rPr>
          <w:rFonts w:ascii="Calibri" w:hAnsi="Calibri"/>
          <w:b w:val="0"/>
          <w:i w:val="0"/>
          <w:color w:val="252A2C"/>
          <w:sz w:val="22"/>
        </w:rPr>
        <w:t>Ces mouvements peuvent provoquer des tassements différentiels et des désordres sur les fondations ou les parties visibles d'un bâtiment. (N01-C030 ; N01-SRC-012 ; section Quelles peuvent en être les conséquences ?).</w:t>
      </w:r>
    </w:p>
    <w:p>
      <w:r>
        <w:rPr>
          <w:rFonts w:ascii="Calibri" w:hAnsi="Calibri"/>
          <w:b w:val="0"/>
          <w:i w:val="0"/>
          <w:color w:val="252A2C"/>
          <w:sz w:val="22"/>
        </w:rPr>
        <w:t>La présence d'une exposition cartographiée doit être croisée avec l'ouvrage, son historique et les investigations ; elle ne suffit pas à conclure sur un dossier. (N01-C031 ; N01-SRC-012 ; portée de la page et doctrine IEB de preuve).</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Après ne signifie pas à cause de ; une proximité temporelle ouvre une hypothèse, elle ne la ferme pas.</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Compléter TRV-P003 avec les sources manquantes, puis construire deux scénarios compatibles avec la date contestée de l'extension.</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Orientation et diagnostic initial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IEB-N01-ACT-04-01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Apports guidés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IEB-N01-ACT-04-01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obligatoire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IEB-N01-ACT-04-01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IEB-N01-ACT-04-01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IEB-N01-DEL-04 — Chronologie avec sources, lacunes et niveaux de certitude.</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Table chronologique textuelle accessible à la place d'une frise graphique.</w:t>
      </w:r>
    </w:p>
    <w:p>
      <w:pPr>
        <w:pStyle w:val="Heading1"/>
        <w:pageBreakBefore/>
      </w:pPr>
      <w:r>
        <w:rPr>
          <w:rFonts w:ascii="Calibri" w:hAnsi="Calibri"/>
          <w:b/>
          <w:i w:val="0"/>
          <w:color w:val="24493D"/>
          <w:sz w:val="32"/>
        </w:rPr>
        <w:t>IEB-N01-U05 — Jour 3 — Organiser les pièces et la traçabilité de preuve</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Construire un bordereau de pièces versionné et relier chaque constat à son support disponible.</w:t>
      </w:r>
    </w:p>
    <w:p>
      <w:r>
        <w:rPr>
          <w:rFonts w:ascii="Calibri" w:hAnsi="Calibri"/>
          <w:b w:val="0"/>
          <w:i w:val="0"/>
          <w:color w:val="252A2C"/>
          <w:sz w:val="22"/>
        </w:rPr>
        <w:t>La preuve reste exploitable si son origine, sa version, son auteur, sa date et son lien avec un constat peuvent être retrouvés. Le bordereau ne mesure pas le volume ; il révèle la fonction et les lacunes.</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Attribuer un identifiant unique à chaque pièce.</w:t>
      </w:r>
    </w:p>
    <w:p>
      <w:pPr>
        <w:pStyle w:val="ListBullet"/>
      </w:pPr>
      <w:r>
        <w:rPr>
          <w:rFonts w:ascii="Calibri" w:hAnsi="Calibri"/>
          <w:b w:val="0"/>
          <w:i w:val="0"/>
          <w:color w:val="252A2C"/>
          <w:sz w:val="22"/>
        </w:rPr>
        <w:t>Conserver l'original ou la référence en lecture seule.</w:t>
      </w:r>
    </w:p>
    <w:p>
      <w:pPr>
        <w:pStyle w:val="ListBullet"/>
      </w:pPr>
      <w:r>
        <w:rPr>
          <w:rFonts w:ascii="Calibri" w:hAnsi="Calibri"/>
          <w:b w:val="0"/>
          <w:i w:val="0"/>
          <w:color w:val="252A2C"/>
          <w:sz w:val="22"/>
        </w:rPr>
        <w:t>Enregistrer auteur, date, version et provenance.</w:t>
      </w:r>
    </w:p>
    <w:p>
      <w:pPr>
        <w:pStyle w:val="ListBullet"/>
      </w:pPr>
      <w:r>
        <w:rPr>
          <w:rFonts w:ascii="Calibri" w:hAnsi="Calibri"/>
          <w:b w:val="0"/>
          <w:i w:val="0"/>
          <w:color w:val="252A2C"/>
          <w:sz w:val="22"/>
        </w:rPr>
        <w:t>Décrire la fonction probatoire attendue.</w:t>
      </w:r>
    </w:p>
    <w:p>
      <w:pPr>
        <w:pStyle w:val="ListBullet"/>
      </w:pPr>
      <w:r>
        <w:rPr>
          <w:rFonts w:ascii="Calibri" w:hAnsi="Calibri"/>
          <w:b w:val="0"/>
          <w:i w:val="0"/>
          <w:color w:val="252A2C"/>
          <w:sz w:val="22"/>
        </w:rPr>
        <w:t>Relier constats, hypothèses et pièces.</w:t>
      </w:r>
    </w:p>
    <w:p>
      <w:pPr>
        <w:pStyle w:val="ListBullet"/>
      </w:pPr>
      <w:r>
        <w:rPr>
          <w:rFonts w:ascii="Calibri" w:hAnsi="Calibri"/>
          <w:b w:val="0"/>
          <w:i w:val="0"/>
          <w:color w:val="252A2C"/>
          <w:sz w:val="22"/>
        </w:rPr>
        <w:t>Signaler doublons, incohérences et absences.</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Les contrats légalement formés tiennent lieu de loi à ceux qui les ont faits. (N01-C039 ; N01-SRC-016 ; article 1103).</w:t>
      </w:r>
    </w:p>
    <w:p>
      <w:r>
        <w:rPr>
          <w:rFonts w:ascii="Calibri" w:hAnsi="Calibri"/>
          <w:b w:val="0"/>
          <w:i w:val="0"/>
          <w:color w:val="252A2C"/>
          <w:sz w:val="22"/>
        </w:rPr>
        <w:t>L'inexécution ou le retard peut ouvrir droit à des dommages et intérêts dans les conditions prévues par l'article 1231-1. (N01-C040 ; N01-SRC-016 ; article 1231-1).</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Une pièce présente n'est pas nécessairement pertinente, fiable, complète ou applicable.</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Indexer TRV-P001 à TRV-P006 et construire une matrice constat-preuve pour TRV-O01 à TRV-O04.</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Orientation et diagnostic initial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IEB-N01-ACT-05-01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Apports guidés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IEB-N01-ACT-05-01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obligatoire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IEB-N01-ACT-05-01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IEB-N01-ACT-05-01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IEB-N01-DEL-05 — Bordereau des pièces et matrice constat-preuve.</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Registre tabulaire accessible avec mêmes champs et mêmes contrôles.</w:t>
      </w:r>
    </w:p>
    <w:p>
      <w:pPr>
        <w:pStyle w:val="Heading1"/>
        <w:pageBreakBefore/>
      </w:pPr>
      <w:r>
        <w:rPr>
          <w:rFonts w:ascii="Calibri" w:hAnsi="Calibri"/>
          <w:b/>
          <w:i w:val="0"/>
          <w:color w:val="24493D"/>
          <w:sz w:val="32"/>
        </w:rPr>
        <w:t>IEB-N01-U06 — Jour 3 — Formuler et hiérarchiser des hypothèses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Formuler plusieurs hypothèses compatibles avec les faits et choisir les investigations capables de les discriminer.</w:t>
      </w:r>
    </w:p>
    <w:p>
      <w:r>
        <w:rPr>
          <w:rFonts w:ascii="Calibri" w:hAnsi="Calibri"/>
          <w:b w:val="0"/>
          <w:i w:val="0"/>
          <w:color w:val="252A2C"/>
          <w:sz w:val="22"/>
        </w:rPr>
        <w:t>Le diagnostic progresse par hypothèses concurrentes. Une bonne hypothèse explique des faits, accepte des indices défavorables et peut être discriminée par une investigation proportionnée.</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Formuler au moins deux scénarios compatibles.</w:t>
      </w:r>
    </w:p>
    <w:p>
      <w:pPr>
        <w:pStyle w:val="ListBullet"/>
      </w:pPr>
      <w:r>
        <w:rPr>
          <w:rFonts w:ascii="Calibri" w:hAnsi="Calibri"/>
          <w:b w:val="0"/>
          <w:i w:val="0"/>
          <w:color w:val="252A2C"/>
          <w:sz w:val="22"/>
        </w:rPr>
        <w:t>Lister les indices favorables et défavorables.</w:t>
      </w:r>
    </w:p>
    <w:p>
      <w:pPr>
        <w:pStyle w:val="ListBullet"/>
      </w:pPr>
      <w:r>
        <w:rPr>
          <w:rFonts w:ascii="Calibri" w:hAnsi="Calibri"/>
          <w:b w:val="0"/>
          <w:i w:val="0"/>
          <w:color w:val="252A2C"/>
          <w:sz w:val="22"/>
        </w:rPr>
        <w:t>Indiquer ce que chaque hypothèse n'explique pas.</w:t>
      </w:r>
    </w:p>
    <w:p>
      <w:pPr>
        <w:pStyle w:val="ListBullet"/>
      </w:pPr>
      <w:r>
        <w:rPr>
          <w:rFonts w:ascii="Calibri" w:hAnsi="Calibri"/>
          <w:b w:val="0"/>
          <w:i w:val="0"/>
          <w:color w:val="252A2C"/>
          <w:sz w:val="22"/>
        </w:rPr>
        <w:t>Choisir une investigation discriminante.</w:t>
      </w:r>
    </w:p>
    <w:p>
      <w:pPr>
        <w:pStyle w:val="ListBullet"/>
      </w:pPr>
      <w:r>
        <w:rPr>
          <w:rFonts w:ascii="Calibri" w:hAnsi="Calibri"/>
          <w:b w:val="0"/>
          <w:i w:val="0"/>
          <w:color w:val="252A2C"/>
          <w:sz w:val="22"/>
        </w:rPr>
        <w:t>Évaluer sécurité, coût, délai et destructivité.</w:t>
      </w:r>
    </w:p>
    <w:p>
      <w:pPr>
        <w:pStyle w:val="ListBullet"/>
      </w:pPr>
      <w:r>
        <w:rPr>
          <w:rFonts w:ascii="Calibri" w:hAnsi="Calibri"/>
          <w:b w:val="0"/>
          <w:i w:val="0"/>
          <w:color w:val="252A2C"/>
          <w:sz w:val="22"/>
        </w:rPr>
        <w:t>Réviser le rang des hypothèses après chaque résultat.</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r>
        <w:rPr>
          <w:rFonts w:ascii="Calibri" w:hAnsi="Calibri"/>
          <w:b w:val="0"/>
          <w:i w:val="0"/>
          <w:color w:val="252A2C"/>
          <w:sz w:val="22"/>
        </w:rPr>
        <w:t>Les contrats légalement formés tiennent lieu de loi à ceux qui les ont faits. (N01-C039 ; N01-SRC-016 ; article 1103).</w:t>
      </w:r>
    </w:p>
    <w:p>
      <w:r>
        <w:rPr>
          <w:rFonts w:ascii="Calibri" w:hAnsi="Calibri"/>
          <w:b w:val="0"/>
          <w:i w:val="0"/>
          <w:color w:val="252A2C"/>
          <w:sz w:val="22"/>
        </w:rPr>
        <w:t>L'inexécution ou le retard peut ouvrir droit à des dommages et intérêts dans les conditions prévues par l'article 1231-1. (N01-C040 ; N01-SRC-016 ; article 1231-1).</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Accumuler des indices en faveur d'une seule cause crée un biais de confirmation.</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Pour TRV-O01 et TRV-O02, produire une matrice avec trois hypothèses, une preuve contraire et une investigation discriminante par hypothèse.</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Orientation et diagnostic initial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IEB-N01-ACT-06-01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Apports guidés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IEB-N01-ACT-06-01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obligatoire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IEB-N01-ACT-06-01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IEB-N01-ACT-06-01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IEB-N01-DEL-06 — Matrice hypothèses-indices-investigations-limites.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Arbre fourni en liste hiérarchique textuelle avec relations explicites.</w:t>
      </w:r>
    </w:p>
    <w:p>
      <w:pPr>
        <w:pStyle w:val="Heading1"/>
        <w:pageBreakBefore/>
      </w:pPr>
      <w:r>
        <w:rPr>
          <w:rFonts w:ascii="Calibri" w:hAnsi="Calibri"/>
          <w:b/>
          <w:i w:val="0"/>
          <w:color w:val="24493D"/>
          <w:sz w:val="32"/>
        </w:rPr>
        <w:t>IEB-N01-U07 — Jour 4 — Laboratoire de cas — fissuration et mouvements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Comparer des scénarios explicatifs de fissuration sans déduire une cause de la seule forme observée.</w:t>
      </w:r>
    </w:p>
    <w:p>
      <w:r>
        <w:rPr>
          <w:rFonts w:ascii="Calibri" w:hAnsi="Calibri"/>
          <w:b w:val="0"/>
          <w:i w:val="0"/>
          <w:color w:val="252A2C"/>
          <w:sz w:val="22"/>
        </w:rPr>
        <w:t>La forme d'une fissure oriente l'observation mais ne suffit pas à attribuer un mécanisme. Le contexte de sol, l'histoire, les interfaces, les charges et la stabilité des repères doivent être croisés.</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Localiser et caractériser sans étiqueter la cause.</w:t>
      </w:r>
    </w:p>
    <w:p>
      <w:pPr>
        <w:pStyle w:val="ListBullet"/>
      </w:pPr>
      <w:r>
        <w:rPr>
          <w:rFonts w:ascii="Calibri" w:hAnsi="Calibri"/>
          <w:b w:val="0"/>
          <w:i w:val="0"/>
          <w:color w:val="252A2C"/>
          <w:sz w:val="22"/>
        </w:rPr>
        <w:t>Vérifier la stabilité et l'incertitude des mesures.</w:t>
      </w:r>
    </w:p>
    <w:p>
      <w:pPr>
        <w:pStyle w:val="ListBullet"/>
      </w:pPr>
      <w:r>
        <w:rPr>
          <w:rFonts w:ascii="Calibri" w:hAnsi="Calibri"/>
          <w:b w:val="0"/>
          <w:i w:val="0"/>
          <w:color w:val="252A2C"/>
          <w:sz w:val="22"/>
        </w:rPr>
        <w:t>Reconstruire l'évolution documentée.</w:t>
      </w:r>
    </w:p>
    <w:p>
      <w:pPr>
        <w:pStyle w:val="ListBullet"/>
      </w:pPr>
      <w:r>
        <w:rPr>
          <w:rFonts w:ascii="Calibri" w:hAnsi="Calibri"/>
          <w:b w:val="0"/>
          <w:i w:val="0"/>
          <w:color w:val="252A2C"/>
          <w:sz w:val="22"/>
        </w:rPr>
        <w:t>Croiser ouvrage, sol, eau et transformations.</w:t>
      </w:r>
    </w:p>
    <w:p>
      <w:pPr>
        <w:pStyle w:val="ListBullet"/>
      </w:pPr>
      <w:r>
        <w:rPr>
          <w:rFonts w:ascii="Calibri" w:hAnsi="Calibri"/>
          <w:b w:val="0"/>
          <w:i w:val="0"/>
          <w:color w:val="252A2C"/>
          <w:sz w:val="22"/>
        </w:rPr>
        <w:t>Comparer plusieurs mécanismes possibles.</w:t>
      </w:r>
    </w:p>
    <w:p>
      <w:pPr>
        <w:pStyle w:val="ListBullet"/>
      </w:pPr>
      <w:r>
        <w:rPr>
          <w:rFonts w:ascii="Calibri" w:hAnsi="Calibri"/>
          <w:b w:val="0"/>
          <w:i w:val="0"/>
          <w:color w:val="252A2C"/>
          <w:sz w:val="22"/>
        </w:rPr>
        <w:t>Proposer une surveillance ou investigation proportionnée.</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 retrait-gonflement des sols argileux correspond à des variations de volume liées aux variations d'humidité. (N01-C029 ; N01-SRC-012 ; section de présentation du phénomène).</w:t>
      </w:r>
    </w:p>
    <w:p>
      <w:r>
        <w:rPr>
          <w:rFonts w:ascii="Calibri" w:hAnsi="Calibri"/>
          <w:b w:val="0"/>
          <w:i w:val="0"/>
          <w:color w:val="252A2C"/>
          <w:sz w:val="22"/>
        </w:rPr>
        <w:t>L'article 1792 pose une responsabilité de plein droit du constructeur envers le maître ou l'acquéreur de l'ouvrage pour certains dommages. (N01-C036 ; N01-SRC-015 ; article 1792, premier alinéa).</w:t>
      </w:r>
    </w:p>
    <w:p>
      <w:r>
        <w:rPr>
          <w:rFonts w:ascii="Calibri" w:hAnsi="Calibri"/>
          <w:b w:val="0"/>
          <w:i w:val="0"/>
          <w:color w:val="252A2C"/>
          <w:sz w:val="22"/>
        </w:rPr>
        <w:t>Ces mouvements peuvent provoquer des tassements différentiels et des désordres sur les fondations ou les parties visibles d'un bâtiment. (N01-C030 ; N01-SRC-012 ; section Quelles peuvent en être les conséquences ?).</w:t>
      </w:r>
    </w:p>
    <w:p>
      <w:r>
        <w:rPr>
          <w:rFonts w:ascii="Calibri" w:hAnsi="Calibri"/>
          <w:b w:val="0"/>
          <w:i w:val="0"/>
          <w:color w:val="252A2C"/>
          <w:sz w:val="22"/>
        </w:rPr>
        <w:t>Le texte vise les dommages compromettant la solidité ou rendant l'ouvrage impropre à sa destination dans les conditions qu'il définit. (N01-C037 ; N01-SRC-015 ; article 1792, premier alinéa).</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Une carte d'exposition ou une ouverture apparente isolée n'établit pas la causalité d'un désordre particulier.</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Analyser TRV-O01, TRV-M01 et TRV-M04 ; comparer mouvement de l'interface, évolution de parement et contexte de sol sans conclure.</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Prise en main des pièces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IEB-N01-ACT-07-01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Analyse et hypothèses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IEB-N01-ACT-07-01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sur cas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IEB-N01-ACT-07-01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IEB-N01-ACT-07-01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IEB-N01-DEL-07 — Note comparant les hypothèses et proposant des investigations.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Cas entièrement textuel avec descriptions structurées des relevés et plans.</w:t>
      </w:r>
    </w:p>
    <w:p>
      <w:pPr>
        <w:pStyle w:val="Heading1"/>
        <w:pageBreakBefore/>
      </w:pPr>
      <w:r>
        <w:rPr>
          <w:rFonts w:ascii="Calibri" w:hAnsi="Calibri"/>
          <w:b/>
          <w:i w:val="0"/>
          <w:color w:val="24493D"/>
          <w:sz w:val="32"/>
        </w:rPr>
        <w:t>IEB-N01-U08 — Jour 4 — Laboratoire de cas — humidité, infiltrations et moisissures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Différencier les manifestations, les conditions favorables et les investigations utiles sans confondre symptôme et origine.</w:t>
      </w:r>
    </w:p>
    <w:p>
      <w:r>
        <w:rPr>
          <w:rFonts w:ascii="Calibri" w:hAnsi="Calibri"/>
          <w:b w:val="0"/>
          <w:i w:val="0"/>
          <w:color w:val="252A2C"/>
          <w:sz w:val="22"/>
        </w:rPr>
        <w:t>Humidité, infiltration, condensation et développement biologique décrivent des phénomènes différents. L'investigation croise eau, air, ventilation, usages, météo, matériaux et temporalité.</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Décrire la manifestation et sa localisation.</w:t>
      </w:r>
    </w:p>
    <w:p>
      <w:pPr>
        <w:pStyle w:val="ListBullet"/>
      </w:pPr>
      <w:r>
        <w:rPr>
          <w:rFonts w:ascii="Calibri" w:hAnsi="Calibri"/>
          <w:b w:val="0"/>
          <w:i w:val="0"/>
          <w:color w:val="252A2C"/>
          <w:sz w:val="22"/>
        </w:rPr>
        <w:t>Relever conditions instantanées et incertitudes.</w:t>
      </w:r>
    </w:p>
    <w:p>
      <w:pPr>
        <w:pStyle w:val="ListBullet"/>
      </w:pPr>
      <w:r>
        <w:rPr>
          <w:rFonts w:ascii="Calibri" w:hAnsi="Calibri"/>
          <w:b w:val="0"/>
          <w:i w:val="0"/>
          <w:color w:val="252A2C"/>
          <w:sz w:val="22"/>
        </w:rPr>
        <w:t>Documenter apports d'eau et circulation de l'air.</w:t>
      </w:r>
    </w:p>
    <w:p>
      <w:pPr>
        <w:pStyle w:val="ListBullet"/>
      </w:pPr>
      <w:r>
        <w:rPr>
          <w:rFonts w:ascii="Calibri" w:hAnsi="Calibri"/>
          <w:b w:val="0"/>
          <w:i w:val="0"/>
          <w:color w:val="252A2C"/>
          <w:sz w:val="22"/>
        </w:rPr>
        <w:t>Reconstruire usages, entretien et travaux.</w:t>
      </w:r>
    </w:p>
    <w:p>
      <w:pPr>
        <w:pStyle w:val="ListBullet"/>
      </w:pPr>
      <w:r>
        <w:rPr>
          <w:rFonts w:ascii="Calibri" w:hAnsi="Calibri"/>
          <w:b w:val="0"/>
          <w:i w:val="0"/>
          <w:color w:val="252A2C"/>
          <w:sz w:val="22"/>
        </w:rPr>
        <w:t>Opposer plusieurs origines possibles.</w:t>
      </w:r>
    </w:p>
    <w:p>
      <w:pPr>
        <w:pStyle w:val="ListBullet"/>
      </w:pPr>
      <w:r>
        <w:rPr>
          <w:rFonts w:ascii="Calibri" w:hAnsi="Calibri"/>
          <w:b w:val="0"/>
          <w:i w:val="0"/>
          <w:color w:val="252A2C"/>
          <w:sz w:val="22"/>
        </w:rPr>
        <w:t>Planifier des observations répétées et ciblées.</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Dans son champ, l'aération des logements doit pouvoir être générale et permanente dans les conditions prévues par le texte. (N01-C052 ; N01-SRC-021 ; article 1).</w:t>
      </w:r>
    </w:p>
    <w:p>
      <w:r>
        <w:rPr>
          <w:rFonts w:ascii="Calibri" w:hAnsi="Calibri"/>
          <w:b w:val="0"/>
          <w:i w:val="0"/>
          <w:color w:val="252A2C"/>
          <w:sz w:val="22"/>
        </w:rPr>
        <w:t>Les sources de pollution de l'air intérieur sont multiples et peuvent être extérieures, liées aux matériaux, aux équipements ou aux activités humaines. (N01-C055 ; N01-SRC-022 ; section Origine de la pollution de l'air intérieur).</w:t>
      </w:r>
    </w:p>
    <w:p>
      <w:r>
        <w:rPr>
          <w:rFonts w:ascii="Calibri" w:hAnsi="Calibri"/>
          <w:b w:val="0"/>
          <w:i w:val="0"/>
          <w:color w:val="252A2C"/>
          <w:sz w:val="22"/>
        </w:rPr>
        <w:t>La mérule peut affecter les bois, charpentes et boiseries de bâtiments humides et insuffisamment aérés. (N01-C058 ; N01-SRC-023 ; section Mérule et autres champignons lignivores dans le bâtiment).</w:t>
      </w:r>
    </w:p>
    <w:p>
      <w:r>
        <w:rPr>
          <w:rFonts w:ascii="Calibri" w:hAnsi="Calibri"/>
          <w:b w:val="0"/>
          <w:i w:val="0"/>
          <w:color w:val="252A2C"/>
          <w:sz w:val="22"/>
        </w:rPr>
        <w:t>L'exposition aux moisissures dans les environnements intérieurs constitue un enjeu de santé publique, notamment pour des personnes plus sensibles. (N01-C032 ; N01-SRC-013 ; synthèse et conclusions publiques, pages 16-17).</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Une valeur instantanée d'humidité relative et une auréole ne suffisent pas à déterminer l'origine.</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À partir de TRV-O02, TRV-M02, TRV-M03 et de la chronologie, comparer défaut d'évacuation, renouvellement d'air et apport extérieur.</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Prise en main des pièces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IEB-N01-ACT-08-01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Analyse et hypothèses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IEB-N01-ACT-08-01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sur cas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IEB-N01-ACT-08-01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IEB-N01-ACT-08-01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IEB-N01-DEL-08 — Plan d'investigation humidité avec hypothèses concurrentes.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Données chiffrées et descriptions longues fournies dans un tableau accessible.</w:t>
      </w:r>
    </w:p>
    <w:p>
      <w:pPr>
        <w:pStyle w:val="Heading1"/>
        <w:pageBreakBefore/>
      </w:pPr>
      <w:r>
        <w:rPr>
          <w:rFonts w:ascii="Calibri" w:hAnsi="Calibri"/>
          <w:b/>
          <w:i w:val="0"/>
          <w:color w:val="24493D"/>
          <w:sz w:val="32"/>
        </w:rPr>
        <w:t>IEB-N01-U09 — Jour 5 — Laboratoire de cas — vieillissement et altération des matériaux</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Relier des altérations observées au contexte d'exposition et proposer des vérifications sans diagnostic certain prématuré.</w:t>
      </w:r>
    </w:p>
    <w:p>
      <w:r>
        <w:rPr>
          <w:rFonts w:ascii="Calibri" w:hAnsi="Calibri"/>
          <w:b w:val="0"/>
          <w:i w:val="0"/>
          <w:color w:val="252A2C"/>
          <w:sz w:val="22"/>
        </w:rPr>
        <w:t>Une altération se lit par matériau, exposition, humidité, entretien, intervention et évolution. La description des surfaces ne remplace ni l'identification du matériau ni l'examen de son environnement.</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Identifier la famille de matériau sans sur-précision.</w:t>
      </w:r>
    </w:p>
    <w:p>
      <w:pPr>
        <w:pStyle w:val="ListBullet"/>
      </w:pPr>
      <w:r>
        <w:rPr>
          <w:rFonts w:ascii="Calibri" w:hAnsi="Calibri"/>
          <w:b w:val="0"/>
          <w:i w:val="0"/>
          <w:color w:val="252A2C"/>
          <w:sz w:val="22"/>
        </w:rPr>
        <w:t>Décrire l'altération et son étendue.</w:t>
      </w:r>
    </w:p>
    <w:p>
      <w:pPr>
        <w:pStyle w:val="ListBullet"/>
      </w:pPr>
      <w:r>
        <w:rPr>
          <w:rFonts w:ascii="Calibri" w:hAnsi="Calibri"/>
          <w:b w:val="0"/>
          <w:i w:val="0"/>
          <w:color w:val="252A2C"/>
          <w:sz w:val="22"/>
        </w:rPr>
        <w:t>Documenter humidité, aération et exposition.</w:t>
      </w:r>
    </w:p>
    <w:p>
      <w:pPr>
        <w:pStyle w:val="ListBullet"/>
      </w:pPr>
      <w:r>
        <w:rPr>
          <w:rFonts w:ascii="Calibri" w:hAnsi="Calibri"/>
          <w:b w:val="0"/>
          <w:i w:val="0"/>
          <w:color w:val="252A2C"/>
          <w:sz w:val="22"/>
        </w:rPr>
        <w:t>Rechercher interventions et produits appliqués.</w:t>
      </w:r>
    </w:p>
    <w:p>
      <w:pPr>
        <w:pStyle w:val="ListBullet"/>
      </w:pPr>
      <w:r>
        <w:rPr>
          <w:rFonts w:ascii="Calibri" w:hAnsi="Calibri"/>
          <w:b w:val="0"/>
          <w:i w:val="0"/>
          <w:color w:val="252A2C"/>
          <w:sz w:val="22"/>
        </w:rPr>
        <w:t>Comparer mécanismes physiques, chimiques et biologiques.</w:t>
      </w:r>
    </w:p>
    <w:p>
      <w:pPr>
        <w:pStyle w:val="ListBullet"/>
      </w:pPr>
      <w:r>
        <w:rPr>
          <w:rFonts w:ascii="Calibri" w:hAnsi="Calibri"/>
          <w:b w:val="0"/>
          <w:i w:val="0"/>
          <w:color w:val="252A2C"/>
          <w:sz w:val="22"/>
        </w:rPr>
        <w:t>Définir les vérifications et relais spécialisés.</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La mérule peut affecter les bois, charpentes et boiseries de bâtiments humides et insuffisamment aérés. (N01-C058 ; N01-SRC-023 ; section Mérule et autres champignons lignivores dans le bâtiment).</w:t>
      </w:r>
    </w:p>
    <w:p>
      <w:r>
        <w:rPr>
          <w:rFonts w:ascii="Calibri" w:hAnsi="Calibri"/>
          <w:b w:val="0"/>
          <w:i w:val="0"/>
          <w:color w:val="252A2C"/>
          <w:sz w:val="22"/>
        </w:rPr>
        <w:t>Le dispositif vise notamment des zones comportant un habitat dégradé ou ancien susceptible de présenter des fragilités structurelles. (N01-C061 ; N01-SRC-024 ; section L'essentiel).</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r>
        <w:rPr>
          <w:rFonts w:ascii="Calibri" w:hAnsi="Calibri"/>
          <w:b w:val="0"/>
          <w:i w:val="0"/>
          <w:color w:val="252A2C"/>
          <w:sz w:val="22"/>
        </w:rPr>
        <w:t>La page relie fréquemment son développement à des problèmes d'humidité, à des dégâts des eaux, à l'entretien ou à certaines interventions de réhabilitation. (N01-C059 ; N01-SRC-023 ; section Mérule et autres champignons lignivores dans le bâtiment).</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Une texture ou une couleur n'autorise pas à nommer un agent biologique ou un mécanisme précis.</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Comparer TRV-O03 avec deux altérations synthétiques de matériaux différents et expliciter les vérifications minimales avant diagnostic.</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Prise en main des pièces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IEB-N01-ACT-09-01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Analyse et hypothèses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IEB-N01-ACT-09-01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sur cas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IEB-N01-ACT-09-01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IEB-N01-ACT-09-01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IEB-N01-DEL-09 — Tableau altération-contexte-hypothèses-vérifications.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Descriptions textuelles normalisées et tableau de comparaison compatible lecteur d'écran.</w:t>
      </w:r>
    </w:p>
    <w:p>
      <w:pPr>
        <w:pStyle w:val="Heading1"/>
        <w:pageBreakBefore/>
      </w:pPr>
      <w:r>
        <w:rPr>
          <w:rFonts w:ascii="Calibri" w:hAnsi="Calibri"/>
          <w:b/>
          <w:i w:val="0"/>
          <w:color w:val="24493D"/>
          <w:sz w:val="32"/>
        </w:rPr>
        <w:t>IEB-N01-U10 — Jour 5 — Laboratoire de cas — dossier multipathologique</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Prioriser les investigations d'un dossier cumulant plusieurs manifestations et expliquer les dépendances entre hypothèses.</w:t>
      </w:r>
    </w:p>
    <w:p>
      <w:r>
        <w:rPr>
          <w:rFonts w:ascii="Calibri" w:hAnsi="Calibri"/>
          <w:b w:val="0"/>
          <w:i w:val="0"/>
          <w:color w:val="252A2C"/>
          <w:sz w:val="22"/>
        </w:rPr>
        <w:t>Un dossier multipathologique exige une hiérarchie. Certaines investigations répondent à plusieurs questions ; d'autres dépendent d'une étape préalable ou risquent de modifier la preuve.</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Regrouper les manifestations sans les fusionner.</w:t>
      </w:r>
    </w:p>
    <w:p>
      <w:pPr>
        <w:pStyle w:val="ListBullet"/>
      </w:pPr>
      <w:r>
        <w:rPr>
          <w:rFonts w:ascii="Calibri" w:hAnsi="Calibri"/>
          <w:b w:val="0"/>
          <w:i w:val="0"/>
          <w:color w:val="252A2C"/>
          <w:sz w:val="22"/>
        </w:rPr>
        <w:t>Construire la carte des dépendances.</w:t>
      </w:r>
    </w:p>
    <w:p>
      <w:pPr>
        <w:pStyle w:val="ListBullet"/>
      </w:pPr>
      <w:r>
        <w:rPr>
          <w:rFonts w:ascii="Calibri" w:hAnsi="Calibri"/>
          <w:b w:val="0"/>
          <w:i w:val="0"/>
          <w:color w:val="252A2C"/>
          <w:sz w:val="22"/>
        </w:rPr>
        <w:t>Identifier les risques et pertes de preuve.</w:t>
      </w:r>
    </w:p>
    <w:p>
      <w:pPr>
        <w:pStyle w:val="ListBullet"/>
      </w:pPr>
      <w:r>
        <w:rPr>
          <w:rFonts w:ascii="Calibri" w:hAnsi="Calibri"/>
          <w:b w:val="0"/>
          <w:i w:val="0"/>
          <w:color w:val="252A2C"/>
          <w:sz w:val="22"/>
        </w:rPr>
        <w:t>Classer les investigations par pouvoir discriminant.</w:t>
      </w:r>
    </w:p>
    <w:p>
      <w:pPr>
        <w:pStyle w:val="ListBullet"/>
      </w:pPr>
      <w:r>
        <w:rPr>
          <w:rFonts w:ascii="Calibri" w:hAnsi="Calibri"/>
          <w:b w:val="0"/>
          <w:i w:val="0"/>
          <w:color w:val="252A2C"/>
          <w:sz w:val="22"/>
        </w:rPr>
        <w:t>Ordonner les étapes et décisions intermédiaires.</w:t>
      </w:r>
    </w:p>
    <w:p>
      <w:pPr>
        <w:pStyle w:val="ListBullet"/>
      </w:pPr>
      <w:r>
        <w:rPr>
          <w:rFonts w:ascii="Calibri" w:hAnsi="Calibri"/>
          <w:b w:val="0"/>
          <w:i w:val="0"/>
          <w:color w:val="252A2C"/>
          <w:sz w:val="22"/>
        </w:rPr>
        <w:t>Prévoir les critères d'arrêt et de révision.</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Dans son champ, l'aération des logements doit pouvoir être générale et permanente dans les conditions prévues par le texte. (N01-C052 ; N01-SRC-021 ; article 1).</w:t>
      </w:r>
    </w:p>
    <w:p>
      <w:r>
        <w:rPr>
          <w:rFonts w:ascii="Calibri" w:hAnsi="Calibri"/>
          <w:b w:val="0"/>
          <w:i w:val="0"/>
          <w:color w:val="252A2C"/>
          <w:sz w:val="22"/>
        </w:rPr>
        <w:t>Les sources de pollution de l'air intérieur sont multiples et peuvent être extérieures, liées aux matériaux, aux équipements ou aux activités humaines. (N01-C055 ; N01-SRC-022 ; section Origine de la pollution de l'air intérieur).</w:t>
      </w:r>
    </w:p>
    <w:p>
      <w:r>
        <w:rPr>
          <w:rFonts w:ascii="Calibri" w:hAnsi="Calibri"/>
          <w:b w:val="0"/>
          <w:i w:val="0"/>
          <w:color w:val="252A2C"/>
          <w:sz w:val="22"/>
        </w:rPr>
        <w:t>La mérule peut affecter les bois, charpentes et boiseries de bâtiments humides et insuffisamment aérés. (N01-C058 ; N01-SRC-023 ; section Mérule et autres champignons lignivores dans le bâtiment).</w:t>
      </w:r>
    </w:p>
    <w:p>
      <w:r>
        <w:rPr>
          <w:rFonts w:ascii="Calibri" w:hAnsi="Calibri"/>
          <w:b w:val="0"/>
          <w:i w:val="0"/>
          <w:color w:val="252A2C"/>
          <w:sz w:val="22"/>
        </w:rPr>
        <w:t>Le dispositif vise notamment des zones comportant un habitat dégradé ou ancien susceptible de présenter des fragilités structurelles. (N01-C061 ; N01-SRC-024 ; section L'essentiel).</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Traiter chaque symptôme séparément peut masquer une interface commune ; tout attribuer à une cause unique crée l'erreur inverse.</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Assembler TRV-O01 à TRV-O04, TRV-M01 à TRV-M04 et TRV-P003 en un programme priorisé avec dépendances.</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Prise en main des pièces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IEB-N01-ACT-10-01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Analyse et hypothèses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IEB-N01-ACT-10-01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sur cas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IEB-N01-ACT-10-01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IEB-N01-ACT-10-01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IEB-N01-DEL-10 — Programme hiérarchisé d'investigations et dépendances.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Dossier synthétique multimodal doublé d'une version textuelle ordonnée.</w:t>
      </w:r>
    </w:p>
    <w:p>
      <w:pPr>
        <w:pStyle w:val="Heading1"/>
        <w:pageBreakBefore/>
      </w:pPr>
      <w:r>
        <w:rPr>
          <w:rFonts w:ascii="Calibri" w:hAnsi="Calibri"/>
          <w:b/>
          <w:i w:val="0"/>
          <w:color w:val="24493D"/>
          <w:sz w:val="32"/>
        </w:rPr>
        <w:t>IEB-N01-U11 — Jour 6 — Préparer et conduire un relevé de terrain</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Exécuter un protocole de relevé avec sécurité, repérage, conditions de mesure et limites documentées.</w:t>
      </w:r>
    </w:p>
    <w:p>
      <w:r>
        <w:rPr>
          <w:rFonts w:ascii="Calibri" w:hAnsi="Calibri"/>
          <w:b w:val="0"/>
          <w:i w:val="0"/>
          <w:color w:val="252A2C"/>
          <w:sz w:val="22"/>
        </w:rPr>
        <w:t>Un relevé utile est reproductible : repère, condition, instrument, unité, incertitude et limite sont définis avant la mesure. La sécurité et l'autorisation priment sur la collecte.</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Relire mission, accès et risques.</w:t>
      </w:r>
    </w:p>
    <w:p>
      <w:pPr>
        <w:pStyle w:val="ListBullet"/>
      </w:pPr>
      <w:r>
        <w:rPr>
          <w:rFonts w:ascii="Calibri" w:hAnsi="Calibri"/>
          <w:b w:val="0"/>
          <w:i w:val="0"/>
          <w:color w:val="252A2C"/>
          <w:sz w:val="22"/>
        </w:rPr>
        <w:t>Établir plan de repérage et nomenclature.</w:t>
      </w:r>
    </w:p>
    <w:p>
      <w:pPr>
        <w:pStyle w:val="ListBullet"/>
      </w:pPr>
      <w:r>
        <w:rPr>
          <w:rFonts w:ascii="Calibri" w:hAnsi="Calibri"/>
          <w:b w:val="0"/>
          <w:i w:val="0"/>
          <w:color w:val="252A2C"/>
          <w:sz w:val="22"/>
        </w:rPr>
        <w:t>Noter les conditions initiales.</w:t>
      </w:r>
    </w:p>
    <w:p>
      <w:pPr>
        <w:pStyle w:val="ListBullet"/>
      </w:pPr>
      <w:r>
        <w:rPr>
          <w:rFonts w:ascii="Calibri" w:hAnsi="Calibri"/>
          <w:b w:val="0"/>
          <w:i w:val="0"/>
          <w:color w:val="252A2C"/>
          <w:sz w:val="22"/>
        </w:rPr>
        <w:t>Observer avant de mesurer.</w:t>
      </w:r>
    </w:p>
    <w:p>
      <w:pPr>
        <w:pStyle w:val="ListBullet"/>
      </w:pPr>
      <w:r>
        <w:rPr>
          <w:rFonts w:ascii="Calibri" w:hAnsi="Calibri"/>
          <w:b w:val="0"/>
          <w:i w:val="0"/>
          <w:color w:val="252A2C"/>
          <w:sz w:val="22"/>
        </w:rPr>
        <w:t>Enregistrer instrument, unité et incertitude.</w:t>
      </w:r>
    </w:p>
    <w:p>
      <w:pPr>
        <w:pStyle w:val="ListBullet"/>
      </w:pPr>
      <w:r>
        <w:rPr>
          <w:rFonts w:ascii="Calibri" w:hAnsi="Calibri"/>
          <w:b w:val="0"/>
          <w:i w:val="0"/>
          <w:color w:val="252A2C"/>
          <w:sz w:val="22"/>
        </w:rPr>
        <w:t>Contrôler cohérence, lacunes et conditions de reprise.</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Les mesures de prévention comprennent des actions de prévention, d'information et de formation ainsi qu'une organisation et des moyens adaptés. (N01-C076 ; N01-SRC-029 ; article L4121-1).</w:t>
      </w:r>
    </w:p>
    <w:p>
      <w:r>
        <w:rPr>
          <w:rFonts w:ascii="Calibri" w:hAnsi="Calibri"/>
          <w:b w:val="0"/>
          <w:i w:val="0"/>
          <w:color w:val="252A2C"/>
          <w:sz w:val="22"/>
        </w:rPr>
        <w:t>La prévention sur chantier commence en amont par l'anticipation des situations de coactivité, des choix techniques et de l'environnement du chantier. (N01-C034 ; N01-SRC-014 ; section Pas de projet de construction sans anticipation).</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r>
        <w:rPr>
          <w:rFonts w:ascii="Calibri" w:hAnsi="Calibri"/>
          <w:b w:val="0"/>
          <w:i w:val="0"/>
          <w:color w:val="252A2C"/>
          <w:sz w:val="22"/>
        </w:rPr>
        <w:t>Les mesures doivent être adaptées pour tenir compte du changement des circonstances. (N01-C077 ; N01-SRC-029 ; article L4121-1, dernier alinéa).</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Aucune donnée ne justifie de franchir une limite de sécurité ou d'utiliser un instrument non maîtrisé.</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Exécuter la simulation TRV-P002, TRV-P004 et TRV-P005 ; documenter une mesure refusée ou différée autant que les mesures réalisées.</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Préparation et sécurité</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IEB-N01-ACT-11-01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Exécution ou simulation</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IEB-N01-ACT-11-01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45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Mise en forme des preuves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IEB-N01-ACT-11-01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IEB-N01-ACT-11-01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IEB-N01-DEL-11 — Fiche de relevé, plan de repérage, conditions et limites.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Visite virtuelle guidée avec choix de points de relevé, valeurs simulées et même fiche de preuve.</w:t>
      </w:r>
    </w:p>
    <w:p>
      <w:pPr>
        <w:pStyle w:val="Heading1"/>
        <w:pageBreakBefore/>
      </w:pPr>
      <w:r>
        <w:rPr>
          <w:rFonts w:ascii="Calibri" w:hAnsi="Calibri"/>
          <w:b/>
          <w:i w:val="0"/>
          <w:color w:val="24493D"/>
          <w:sz w:val="32"/>
        </w:rPr>
        <w:t>IEB-N01-U12 — Jour 6 — Photographier, localiser et conserver une preuve exploitable</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Constituer une séquence de preuves visuelles ou équivalentes avec repérage, légende, contexte et minimisation des données.</w:t>
      </w:r>
    </w:p>
    <w:p>
      <w:r>
        <w:rPr>
          <w:rFonts w:ascii="Calibri" w:hAnsi="Calibri"/>
          <w:b w:val="0"/>
          <w:i w:val="0"/>
          <w:color w:val="252A2C"/>
          <w:sz w:val="22"/>
        </w:rPr>
        <w:t>Une preuve visuelle ou textuelle doit être localisée, datée, légendée et minimisée. Elle montre un cadre limité et ne doit ni exposer une personne ni prétendre représenter ce qui reste hors champ.</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Définir la question de preuve.</w:t>
      </w:r>
    </w:p>
    <w:p>
      <w:pPr>
        <w:pStyle w:val="ListBullet"/>
      </w:pPr>
      <w:r>
        <w:rPr>
          <w:rFonts w:ascii="Calibri" w:hAnsi="Calibri"/>
          <w:b w:val="0"/>
          <w:i w:val="0"/>
          <w:color w:val="252A2C"/>
          <w:sz w:val="22"/>
        </w:rPr>
        <w:t>Écarter personnes et données inutiles.</w:t>
      </w:r>
    </w:p>
    <w:p>
      <w:pPr>
        <w:pStyle w:val="ListBullet"/>
      </w:pPr>
      <w:r>
        <w:rPr>
          <w:rFonts w:ascii="Calibri" w:hAnsi="Calibri"/>
          <w:b w:val="0"/>
          <w:i w:val="0"/>
          <w:color w:val="252A2C"/>
          <w:sz w:val="22"/>
        </w:rPr>
        <w:t>Lier le repère au plan.</w:t>
      </w:r>
    </w:p>
    <w:p>
      <w:pPr>
        <w:pStyle w:val="ListBullet"/>
      </w:pPr>
      <w:r>
        <w:rPr>
          <w:rFonts w:ascii="Calibri" w:hAnsi="Calibri"/>
          <w:b w:val="0"/>
          <w:i w:val="0"/>
          <w:color w:val="252A2C"/>
          <w:sz w:val="22"/>
        </w:rPr>
        <w:t>Produire vue ou description longue.</w:t>
      </w:r>
    </w:p>
    <w:p>
      <w:pPr>
        <w:pStyle w:val="ListBullet"/>
      </w:pPr>
      <w:r>
        <w:rPr>
          <w:rFonts w:ascii="Calibri" w:hAnsi="Calibri"/>
          <w:b w:val="0"/>
          <w:i w:val="0"/>
          <w:color w:val="252A2C"/>
          <w:sz w:val="22"/>
        </w:rPr>
        <w:t>Légender factuellement.</w:t>
      </w:r>
    </w:p>
    <w:p>
      <w:pPr>
        <w:pStyle w:val="ListBullet"/>
      </w:pPr>
      <w:r>
        <w:rPr>
          <w:rFonts w:ascii="Calibri" w:hAnsi="Calibri"/>
          <w:b w:val="0"/>
          <w:i w:val="0"/>
          <w:color w:val="252A2C"/>
          <w:sz w:val="22"/>
        </w:rPr>
        <w:t>Contrôler fichier, métadonnées, accès et conservation.</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Les données à caractère personnel doivent être adéquates, pertinentes et limitées à ce qui est nécessaire au regard des finalités. (N01-C079 ; N01-SRC-030 ; article 5, paragraphe 1, point c).</w:t>
      </w:r>
    </w:p>
    <w:p>
      <w:r>
        <w:rPr>
          <w:rFonts w:ascii="Calibri" w:hAnsi="Calibri"/>
          <w:b w:val="0"/>
          <w:i w:val="0"/>
          <w:color w:val="252A2C"/>
          <w:sz w:val="22"/>
        </w:rPr>
        <w:t>La prévention sur chantier commence en amont par l'anticipation des situations de coactivité, des choix techniques et de l'environnement du chantier. (N01-C034 ; N01-SRC-014 ; section Pas de projet de construction sans anticipation).</w:t>
      </w:r>
    </w:p>
    <w:p>
      <w:r>
        <w:rPr>
          <w:rFonts w:ascii="Calibri" w:hAnsi="Calibri"/>
          <w:b w:val="0"/>
          <w:i w:val="0"/>
          <w:color w:val="252A2C"/>
          <w:sz w:val="22"/>
        </w:rPr>
        <w:t>La minimisation conduit à ne collecter que les informations strictement nécessaires à l'objectif poursuivi. (N01-C023 ; N01-SRC-009 ; section Le réflexe RGPD).</w:t>
      </w:r>
    </w:p>
    <w:p>
      <w:r>
        <w:rPr>
          <w:rFonts w:ascii="Calibri" w:hAnsi="Calibri"/>
          <w:b w:val="0"/>
          <w:i w:val="0"/>
          <w:color w:val="252A2C"/>
          <w:sz w:val="22"/>
        </w:rPr>
        <w:t>Les principes comprennent l'exactitude et une conservation n'excédant pas la durée nécessaire, sous réserve des conditions prévues par le texte. (N01-C080 ; N01-SRC-030 ; article 5, paragraphe 1, points d et e).</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Une image sans repère, contexte ou droit est une illustration ambiguë, pas une preuve exploitable.</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Transformer TRV-V01 à TRV-V03 en registre accessible avec description longue, repère, contexte, auteur fonctionnel et règle de conservation.</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Préparation et sécurité</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IEB-N01-ACT-12-01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Exécution ou simulation</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IEB-N01-ACT-12-01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45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Mise en forme des preuves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IEB-N01-ACT-12-01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IEB-N01-ACT-12-01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IEB-N01-DEL-12 — Registre de vues, repères, légendes, contexte et contrôle de données.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Séquence de preuves textuelles prélocalisées à annoter, avec exigences identiques.</w:t>
      </w:r>
    </w:p>
    <w:p>
      <w:pPr>
        <w:pStyle w:val="Heading1"/>
        <w:pageBreakBefore/>
      </w:pPr>
      <w:r>
        <w:rPr>
          <w:rFonts w:ascii="Calibri" w:hAnsi="Calibri"/>
          <w:b/>
          <w:i w:val="0"/>
          <w:color w:val="24493D"/>
          <w:sz w:val="32"/>
        </w:rPr>
        <w:t>IEB-N01-U13 — Jour 7 — Atelier contradictoire de choix d'investigations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Défendre puis réviser un programme d'investigation après confrontation à des objections documentées.</w:t>
      </w:r>
    </w:p>
    <w:p>
      <w:r>
        <w:rPr>
          <w:rFonts w:ascii="Calibri" w:hAnsi="Calibri"/>
          <w:b w:val="0"/>
          <w:i w:val="0"/>
          <w:color w:val="252A2C"/>
          <w:sz w:val="22"/>
        </w:rPr>
        <w:t>La contradiction teste le raisonnement. Une objection utile est attribuée, reliée à une pièce et reçoit une réponse : maintien, modification, retrait, demande de preuve ou relais.</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Présenter le programme et ses hypothèses.</w:t>
      </w:r>
    </w:p>
    <w:p>
      <w:pPr>
        <w:pStyle w:val="ListBullet"/>
      </w:pPr>
      <w:r>
        <w:rPr>
          <w:rFonts w:ascii="Calibri" w:hAnsi="Calibri"/>
          <w:b w:val="0"/>
          <w:i w:val="0"/>
          <w:color w:val="252A2C"/>
          <w:sz w:val="22"/>
        </w:rPr>
        <w:t>Enregistrer chaque objection sans la reformuler abusivement.</w:t>
      </w:r>
    </w:p>
    <w:p>
      <w:pPr>
        <w:pStyle w:val="ListBullet"/>
      </w:pPr>
      <w:r>
        <w:rPr>
          <w:rFonts w:ascii="Calibri" w:hAnsi="Calibri"/>
          <w:b w:val="0"/>
          <w:i w:val="0"/>
          <w:color w:val="252A2C"/>
          <w:sz w:val="22"/>
        </w:rPr>
        <w:t>Identifier la pièce ou question concernée.</w:t>
      </w:r>
    </w:p>
    <w:p>
      <w:pPr>
        <w:pStyle w:val="ListBullet"/>
      </w:pPr>
      <w:r>
        <w:rPr>
          <w:rFonts w:ascii="Calibri" w:hAnsi="Calibri"/>
          <w:b w:val="0"/>
          <w:i w:val="0"/>
          <w:color w:val="252A2C"/>
          <w:sz w:val="22"/>
        </w:rPr>
        <w:t>Répondre avec preuve et limite.</w:t>
      </w:r>
    </w:p>
    <w:p>
      <w:pPr>
        <w:pStyle w:val="ListBullet"/>
      </w:pPr>
      <w:r>
        <w:rPr>
          <w:rFonts w:ascii="Calibri" w:hAnsi="Calibri"/>
          <w:b w:val="0"/>
          <w:i w:val="0"/>
          <w:color w:val="252A2C"/>
          <w:sz w:val="22"/>
        </w:rPr>
        <w:t>Journaliser chaque modification.</w:t>
      </w:r>
    </w:p>
    <w:p>
      <w:pPr>
        <w:pStyle w:val="ListBullet"/>
      </w:pPr>
      <w:r>
        <w:rPr>
          <w:rFonts w:ascii="Calibri" w:hAnsi="Calibri"/>
          <w:b w:val="0"/>
          <w:i w:val="0"/>
          <w:color w:val="252A2C"/>
          <w:sz w:val="22"/>
        </w:rPr>
        <w:t>Conserver les désaccords non résolus.</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Les contrats légalement formés tiennent lieu de loi à ceux qui les ont faits. (N01-C039 ; N01-SRC-016 ; article 1103).</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r>
        <w:rPr>
          <w:rFonts w:ascii="Calibri" w:hAnsi="Calibri"/>
          <w:b w:val="0"/>
          <w:i w:val="0"/>
          <w:color w:val="252A2C"/>
          <w:sz w:val="22"/>
        </w:rPr>
        <w:t>L'inexécution ou le retard peut ouvrir droit à des dommages et intérêts dans les conditions prévues par l'article 1231-1. (N01-C040 ; N01-SRC-016 ; article 1231-1).</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Répondre à une personne plutôt qu'à son argument détruit la neutralité et la traçabilité.</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Traiter TRV-C01 à TRV-C03, puis ajouter deux objections nouvelles sur l'échantillonnage et la conservation des données.</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Préparation individuelle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IEB-N01-ACT-13-01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90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Contradiction accompagnée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IEB-N01-ACT-13-01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70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Révision et journal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IEB-N01-ACT-13-01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IEB-N01-DEL-13 — Programme révisé et journal des objections-réponses.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Atelier asynchrone avec objections écrites, temps d'échange équivalent et même journal de décision.</w:t>
      </w:r>
    </w:p>
    <w:p>
      <w:pPr>
        <w:pStyle w:val="Heading1"/>
        <w:pageBreakBefore/>
      </w:pPr>
      <w:r>
        <w:rPr>
          <w:rFonts w:ascii="Calibri" w:hAnsi="Calibri"/>
          <w:b/>
          <w:i w:val="0"/>
          <w:color w:val="24493D"/>
          <w:sz w:val="32"/>
        </w:rPr>
        <w:t>IEB-N01-U14 — Jour 7 — Production de bloc B1 — dossier de diagnostic traçable</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Assembler un dossier de diagnostic qui relie mission, observations, pièces, hypothèses, investigations, limites et conclusion provisoire.</w:t>
      </w:r>
    </w:p>
    <w:p>
      <w:r>
        <w:rPr>
          <w:rFonts w:ascii="Calibri" w:hAnsi="Calibri"/>
          <w:b w:val="0"/>
          <w:i w:val="0"/>
          <w:color w:val="252A2C"/>
          <w:sz w:val="22"/>
        </w:rPr>
        <w:t>La production B1 assemble mission, constats, pièces, chronologie, hypothèses, investigations, contradiction et conclusion provisoire. Chaque conclusion indique sa portée et les preuves qui la soutiennent.</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Contrôler la réponse à la mission.</w:t>
      </w:r>
    </w:p>
    <w:p>
      <w:pPr>
        <w:pStyle w:val="ListBullet"/>
      </w:pPr>
      <w:r>
        <w:rPr>
          <w:rFonts w:ascii="Calibri" w:hAnsi="Calibri"/>
          <w:b w:val="0"/>
          <w:i w:val="0"/>
          <w:color w:val="252A2C"/>
          <w:sz w:val="22"/>
        </w:rPr>
        <w:t>Vérifier l'index et les renvois.</w:t>
      </w:r>
    </w:p>
    <w:p>
      <w:pPr>
        <w:pStyle w:val="ListBullet"/>
      </w:pPr>
      <w:r>
        <w:rPr>
          <w:rFonts w:ascii="Calibri" w:hAnsi="Calibri"/>
          <w:b w:val="0"/>
          <w:i w:val="0"/>
          <w:color w:val="252A2C"/>
          <w:sz w:val="22"/>
        </w:rPr>
        <w:t>Séparer constats, analyses et conclusions.</w:t>
      </w:r>
    </w:p>
    <w:p>
      <w:pPr>
        <w:pStyle w:val="ListBullet"/>
      </w:pPr>
      <w:r>
        <w:rPr>
          <w:rFonts w:ascii="Calibri" w:hAnsi="Calibri"/>
          <w:b w:val="0"/>
          <w:i w:val="0"/>
          <w:color w:val="252A2C"/>
          <w:sz w:val="22"/>
        </w:rPr>
        <w:t>Hiérarchiser les hypothèses et investigations.</w:t>
      </w:r>
    </w:p>
    <w:p>
      <w:pPr>
        <w:pStyle w:val="ListBullet"/>
      </w:pPr>
      <w:r>
        <w:rPr>
          <w:rFonts w:ascii="Calibri" w:hAnsi="Calibri"/>
          <w:b w:val="0"/>
          <w:i w:val="0"/>
          <w:color w:val="252A2C"/>
          <w:sz w:val="22"/>
        </w:rPr>
        <w:t>Intégrer la contradiction et les révisions.</w:t>
      </w:r>
    </w:p>
    <w:p>
      <w:pPr>
        <w:pStyle w:val="ListBullet"/>
      </w:pPr>
      <w:r>
        <w:rPr>
          <w:rFonts w:ascii="Calibri" w:hAnsi="Calibri"/>
          <w:b w:val="0"/>
          <w:i w:val="0"/>
          <w:color w:val="252A2C"/>
          <w:sz w:val="22"/>
        </w:rPr>
        <w:t>Effectuer l'auto-revue selon la rubrique B1.</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r>
        <w:rPr>
          <w:rFonts w:ascii="Calibri" w:hAnsi="Calibri"/>
          <w:b w:val="0"/>
          <w:i w:val="0"/>
          <w:color w:val="252A2C"/>
          <w:sz w:val="22"/>
        </w:rPr>
        <w:t>Le retrait-gonflement des sols argileux correspond à des variations de volume liées aux variations d'humidité. (N01-C029 ; N01-SRC-012 ; section de présentation du phénomène).</w:t>
      </w:r>
    </w:p>
    <w:p>
      <w:r>
        <w:rPr>
          <w:rFonts w:ascii="Calibri" w:hAnsi="Calibri"/>
          <w:b w:val="0"/>
          <w:i w:val="0"/>
          <w:color w:val="252A2C"/>
          <w:sz w:val="22"/>
        </w:rPr>
        <w:t>L'exposition aux moisissures dans les environnements intérieurs constitue un enjeu de santé publique, notamment pour des personnes plus sensibles. (N01-C032 ; N01-SRC-013 ; synthèse et conclusions publiques, pages 16-17).</w:t>
      </w:r>
    </w:p>
    <w:p>
      <w:r>
        <w:rPr>
          <w:rFonts w:ascii="Calibri" w:hAnsi="Calibri"/>
          <w:b w:val="0"/>
          <w:i w:val="0"/>
          <w:color w:val="252A2C"/>
          <w:sz w:val="22"/>
        </w:rPr>
        <w:t>Les contrats légalement formés tiennent lieu de loi à ceux qui les ont faits. (N01-C039 ; N01-SRC-016 ; article 1103).</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Une conclusion provisoire reste une conclusion professionnelle : elle doit être précise, traçable et honnête sur les limites.</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Remettre le dossier B1 du site Traverse, entièrement fictif, avec le rapport borné et le journal de contradiction.</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Cadrage et contrôle du contrat</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IEB-N01-ACT-14-01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145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évaluée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IEB-N01-ACT-14-01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40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Auto-revue et remise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IEB-N01-ACT-14-01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IEB-N01-BLOCK-OUTPUT-01 — Dossier de diagnostic traçable et rapport borné.</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Dossier numérique accessible avec gabarit linéaire et soutenance remplacée par audio ou texte selon besoin.</w:t>
      </w:r>
    </w:p>
    <w:p>
      <w:pPr>
        <w:pStyle w:val="Heading1"/>
        <w:pageBreakBefore/>
      </w:pPr>
      <w:r>
        <w:rPr>
          <w:rFonts w:ascii="Calibri" w:hAnsi="Calibri"/>
          <w:b/>
          <w:i w:val="0"/>
          <w:color w:val="24493D"/>
          <w:sz w:val="32"/>
        </w:rPr>
        <w:t>Contrôle final du dossier B1</w:t>
      </w:r>
    </w:p>
    <w:p>
      <w:pPr>
        <w:pStyle w:val="ListBullet"/>
      </w:pPr>
      <w:r>
        <w:rPr>
          <w:rFonts w:ascii="Calibri" w:hAnsi="Calibri"/>
          <w:b w:val="0"/>
          <w:i w:val="0"/>
          <w:color w:val="252A2C"/>
          <w:sz w:val="22"/>
        </w:rPr>
        <w:t>La mission, les exclusions et les conditions d'arrêt sont visibles.</w:t>
      </w:r>
    </w:p>
    <w:p>
      <w:pPr>
        <w:pStyle w:val="ListBullet"/>
      </w:pPr>
      <w:r>
        <w:rPr>
          <w:rFonts w:ascii="Calibri" w:hAnsi="Calibri"/>
          <w:b w:val="0"/>
          <w:i w:val="0"/>
          <w:color w:val="252A2C"/>
          <w:sz w:val="22"/>
        </w:rPr>
        <w:t>Chaque constat possède un identifiant et un repère.</w:t>
      </w:r>
    </w:p>
    <w:p>
      <w:pPr>
        <w:pStyle w:val="ListBullet"/>
      </w:pPr>
      <w:r>
        <w:rPr>
          <w:rFonts w:ascii="Calibri" w:hAnsi="Calibri"/>
          <w:b w:val="0"/>
          <w:i w:val="0"/>
          <w:color w:val="252A2C"/>
          <w:sz w:val="22"/>
        </w:rPr>
        <w:t>La chronologie distingue documenté, déclaré et inconnu.</w:t>
      </w:r>
    </w:p>
    <w:p>
      <w:pPr>
        <w:pStyle w:val="ListBullet"/>
      </w:pPr>
      <w:r>
        <w:rPr>
          <w:rFonts w:ascii="Calibri" w:hAnsi="Calibri"/>
          <w:b w:val="0"/>
          <w:i w:val="0"/>
          <w:color w:val="252A2C"/>
          <w:sz w:val="22"/>
        </w:rPr>
        <w:t>Les hypothèses concurrentes comportent des indices défavorables.</w:t>
      </w:r>
    </w:p>
    <w:p>
      <w:pPr>
        <w:pStyle w:val="ListBullet"/>
      </w:pPr>
      <w:r>
        <w:rPr>
          <w:rFonts w:ascii="Calibri" w:hAnsi="Calibri"/>
          <w:b w:val="0"/>
          <w:i w:val="0"/>
          <w:color w:val="252A2C"/>
          <w:sz w:val="22"/>
        </w:rPr>
        <w:t>Chaque investigation répond à une question et respecte la sécurité.</w:t>
      </w:r>
    </w:p>
    <w:p>
      <w:pPr>
        <w:pStyle w:val="ListBullet"/>
      </w:pPr>
      <w:r>
        <w:rPr>
          <w:rFonts w:ascii="Calibri" w:hAnsi="Calibri"/>
          <w:b w:val="0"/>
          <w:i w:val="0"/>
          <w:color w:val="252A2C"/>
          <w:sz w:val="22"/>
        </w:rPr>
        <w:t>Les objections et leurs effets sont journalisés.</w:t>
      </w:r>
    </w:p>
    <w:p>
      <w:pPr>
        <w:pStyle w:val="ListBullet"/>
      </w:pPr>
      <w:r>
        <w:rPr>
          <w:rFonts w:ascii="Calibri" w:hAnsi="Calibri"/>
          <w:b w:val="0"/>
          <w:i w:val="0"/>
          <w:color w:val="252A2C"/>
          <w:sz w:val="22"/>
        </w:rPr>
        <w:t>Les conclusions renvoient aux pièces et annoncent leurs limites.</w:t>
      </w:r>
    </w:p>
    <w:p>
      <w:pPr>
        <w:pStyle w:val="ListBullet"/>
      </w:pPr>
      <w:r>
        <w:rPr>
          <w:rFonts w:ascii="Calibri" w:hAnsi="Calibri"/>
          <w:b w:val="0"/>
          <w:i w:val="0"/>
          <w:color w:val="252A2C"/>
          <w:sz w:val="22"/>
        </w:rPr>
        <w:t>Aucune donnée réelle ou source protégée n'est introduite.</w:t>
      </w:r>
    </w:p>
    <w:sectPr>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N-01  |  Devenir expert en bâtiment — parcours NéoExpert©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N-01  |  Devenir expert en bâtiment — parcours NéoExpert©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N-01 - Support apprenant - bloc B1</dc:title>
  <dc:subject>Devenir expert en bâtiment — parcours NéoExpert©</dc:subject>
  <dc:creator/>
  <cp:keywords>NéoExpert, observation, diagnostic, Dossier Traverse, preuves, hypothèses</cp:keywords>
  <dc:description>Bloc B1 - Dossier Traverse entièrement synthétique</dc:description>
  <cp:lastModifiedBy/>
  <cp:revision>1</cp:revision>
  <dcterms:created xsi:type="dcterms:W3CDTF">2013-12-23T23:15:00Z</dcterms:created>
  <dcterms:modified xsi:type="dcterms:W3CDTF">2013-12-23T23:15:00Z</dcterms:modified>
  <cp:category/>
</cp:coreProperties>
</file>