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</w:pPr>
      <w:r>
        <w:rPr>
          <w:rFonts w:ascii="Calibri" w:hAnsi="Calibri"/>
          <w:b/>
          <w:i w:val="0"/>
          <w:color w:val="C66B32"/>
          <w:sz w:val="18"/>
        </w:rPr>
        <w:t>N-01  |  PARCOURS NÉOEXPERT©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SUPPORT APPRENANT — BLOC B2</w:t>
      </w:r>
    </w:p>
    <w:p>
      <w:r>
        <w:rPr>
          <w:rFonts w:ascii="Calibri" w:hAnsi="Calibri"/>
          <w:b/>
          <w:i w:val="0"/>
          <w:color w:val="315F78"/>
          <w:sz w:val="26"/>
        </w:rPr>
        <w:t>Cadre juridique, assurances et contradiction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Format — </w:t>
      </w:r>
      <w:r>
        <w:rPr>
          <w:rFonts w:ascii="Calibri" w:hAnsi="Calibri"/>
          <w:b w:val="0"/>
          <w:i w:val="0"/>
          <w:color w:val="252A2C"/>
          <w:sz w:val="21"/>
        </w:rPr>
        <w:t>1 680 minutes obligatoires | jours 8 à 11 | unités U15 à U22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Dossier pédagogique — </w:t>
      </w:r>
      <w:r>
        <w:rPr>
          <w:rFonts w:ascii="Calibri" w:hAnsi="Calibri"/>
          <w:b w:val="0"/>
          <w:i w:val="0"/>
          <w:color w:val="252A2C"/>
          <w:sz w:val="21"/>
        </w:rPr>
        <w:t>Traverse est entièrement fictif : aucun bâtiment, personne, adresse, entreprise, contrat ou fait réel.</w:t>
      </w:r>
    </w:p>
    <w:p>
      <w:r>
        <w:rPr>
          <w:rFonts w:ascii="Calibri" w:hAnsi="Calibri"/>
          <w:b w:val="0"/>
          <w:i/>
          <w:color w:val="252A2C"/>
          <w:sz w:val="22"/>
        </w:rPr>
        <w:t>Les documents guident l'activité obligatoire déjà comptée dans les 1 680 minutes du bloc B2 ; ils n'ajoutent aucune durée.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Réflexe central — </w:t>
      </w:r>
      <w:r>
        <w:rPr>
          <w:rFonts w:ascii="Calibri" w:hAnsi="Calibri"/>
          <w:b w:val="0"/>
          <w:i w:val="0"/>
          <w:color w:val="252A2C"/>
          <w:sz w:val="21"/>
        </w:rPr>
        <w:t>Éclairer les faits ; rendre les questions juridiques visibles ; ne jamais attribuer responsabilité, garantie ou statut à la place de l'autorité compétente.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Progression du bloc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152"/>
        <w:gridCol w:w="1728"/>
        <w:gridCol w:w="6480"/>
      </w:tblGrid>
      <w:tr>
        <w:trPr>
          <w:tblHeader w:val="true"/>
          <w:cantSplit w:val="true"/>
        </w:trPr>
        <w:tc>
          <w:tcPr>
            <w:tcW w:type="dxa" w:w="115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Jour</w:t>
            </w:r>
          </w:p>
        </w:tc>
        <w:tc>
          <w:tcPr>
            <w:tcW w:type="dxa" w:w="172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Unités</w:t>
            </w:r>
          </w:p>
        </w:tc>
        <w:tc>
          <w:tcPr>
            <w:tcW w:type="dxa" w:w="648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Production dominante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8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U15-U16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carte de périmètre et matrice prudente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9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U17-U18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vérification assurantielle et positions contradictoires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U19-U20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mission judiciaire et limites du statut</w:t>
            </w:r>
          </w:p>
        </w:tc>
      </w:tr>
      <w:tr>
        <w:trPr>
          <w:cantSplit w:val="true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11</w:t>
            </w:r>
          </w:p>
        </w:tc>
        <w:tc>
          <w:tcPr>
            <w:tcW w:type="dxa" w:w="172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U21-U22</w:t>
            </w:r>
          </w:p>
        </w:tc>
        <w:tc>
          <w:tcPr>
            <w:tcW w:type="dxa" w:w="64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note de cadrage et soutenance contradictoire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IEB-N01-U15 — Jour 8 — Qualifier la mission et les responsabilités sans trancher le droit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Repérer les questions de fait, les qualifications à confirmer et les limites juridiques d'une demande.</w:t>
      </w:r>
    </w:p>
    <w:p>
      <w:r>
        <w:rPr>
          <w:rFonts w:ascii="Calibri" w:hAnsi="Calibri"/>
          <w:b w:val="0"/>
          <w:i w:val="0"/>
          <w:color w:val="252A2C"/>
          <w:sz w:val="22"/>
        </w:rPr>
        <w:t>L'expert organise des faits techniques et des questions à qualifier ; il ne tranche pas le droit. Le cadrage juridique sépare obligations alléguées, responsabilités possibles et décisions réservées.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Extraire les questions de fait.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Identifier les qualifications évoquées sans les retenir.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Relier chaque allégation à une pièce.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Nommer les zones d'incertitude juridique.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Borner la contribution technique.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Préparer le relais vers conseil, assureur ou juge.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L'article 1792 pose une responsabilité de plein droit du constructeur envers le maître ou l'acquéreur de l'ouvrage pour certains dommages. (N01-C036 ; N01-SRC-015 ; article 1792,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contrats légalement formés tiennent lieu de loi à ceux qui les ont faits. (N01-C039 ; N01-SRC-016 ; article 1103).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texte vise les dommages compromettant la solidité ou rendant l'ouvrage impropre à sa destination dans les conditions qu'il définit. (N01-C037 ; N01-SRC-015 ; article 1792,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L'inexécution ou le retard peut ouvrir droit à des dommages et intérêts dans les conditions prévues par l'article 1231-1. (N01-C040 ; N01-SRC-016 ; article 1231-1).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Employer une notion juridique dans une note technique exige d'en signaler la portée provisoire et l'autorité de décision.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Lire TRV-P007 et construire une carte fait-question-qualification à confirmer-limite-relais.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Orientation et diagnostic initial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IEB-N01-ACT-15-01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Apports guidés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IEB-N01-ACT-15-01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obligatoire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IEB-N01-ACT-15-01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reprise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IEB-N01-ACT-15-01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IEB-N01-DEL-15 — Carte questions de fait-qualifications-limites-relais.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Même exercice dans une grille textuelle accessible.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IEB-N01-U16 — Jour 8 — Contrat, faute, dommage et preuve : construire une carte prudente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Relier un fait allégué aux pièces disponibles et aux familles de responsabilité à faire qualifier.</w:t>
      </w:r>
    </w:p>
    <w:p>
      <w:r>
        <w:rPr>
          <w:rFonts w:ascii="Calibri" w:hAnsi="Calibri"/>
          <w:b w:val="0"/>
          <w:i w:val="0"/>
          <w:color w:val="252A2C"/>
          <w:sz w:val="22"/>
        </w:rPr>
        <w:t>Contrat, obligation, fait, dommage et preuve doivent rester des cases distinctes. Une matrice prudente montre les pièces disponibles et les questions ouvertes sans annoncer le régime ou l'issue.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Identifier le document contractuel et sa version.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Résumer l'obligation alléguée.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Décrire le fait testable.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Qualifier le dommage allégué sans l'admettre.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Relier les preuves et leurs limites.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Formuler la question juridique réservée.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L'article 1792 pose une responsabilité de plein droit du constructeur envers le maître ou l'acquéreur de l'ouvrage pour certains dommages. (N01-C036 ; N01-SRC-015 ; article 1792,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contrats légalement formés tiennent lieu de loi à ceux qui les ont faits. (N01-C039 ; N01-SRC-016 ; article 1103).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texte vise les dommages compromettant la solidité ou rendant l'ouvrage impropre à sa destination dans les conditions qu'il définit. (N01-C037 ; N01-SRC-015 ; article 1792,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L'inexécution ou le retard peut ouvrir droit à des dommages et intérêts dans les conditions prévues par l'article 1231-1. (N01-C040 ; N01-SRC-016 ; article 1231-1).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La présence d'un dommage et d'un contrat ne démontre ni faute, ni imputabilité, ni régime de responsabilité.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À partir de TRV-P008, construire deux scénarios selon la date contestée et la version manquante de l'avenant.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Orientation et diagnostic initial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IEB-N01-ACT-16-01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Apports guidés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IEB-N01-ACT-16-01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obligatoire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IEB-N01-ACT-16-01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reprise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IEB-N01-ACT-16-01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IEB-N01-DEL-16 — Matrice de qualification provisoire et besoins de preuve.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Matrice au format tableur accessible avec consignes identiques.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IEB-N01-U17 — Jour 9 — Garanties et assurances construction : identifier ce qui doit être vérifié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Identifier les acteurs, travaux, dates, dommages et pièces nécessaires avant toute appréciation de garantie.</w:t>
      </w:r>
    </w:p>
    <w:p>
      <w:r>
        <w:rPr>
          <w:rFonts w:ascii="Calibri" w:hAnsi="Calibri"/>
          <w:b w:val="0"/>
          <w:i w:val="0"/>
          <w:color w:val="252A2C"/>
          <w:sz w:val="22"/>
        </w:rPr>
        <w:t>Une attestation d'assurance est une pièce à lire, pas une garantie à annoncer. Il faut croiser acteur, activité déclarée, période, opération, dommage, contrat, exclusions et déclaration.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Identifier l'acteur et sa qualité.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Dater activité, ouverture et dommage.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Vérifier l'activité déclarée.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Recenser contrat, limites et exclusions disponibles.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Signaler les pièces manquantes.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Transmettre les questions de garantie à la personne habilitée.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L'article 1792 pose une responsabilité de plein droit du constructeur envers le maître ou l'acquéreur de l'ouvrage pour certains dommages. (N01-C036 ; N01-SRC-015 ; article 1792,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personne dont la responsabilité décennale peut être engagée sur le fondement des articles 1792 et suivants doit être couverte dans les conditions de l'article L241-1. (N01-C043 ; N01-SRC-017 ; article L241-1).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texte vise les dommages compromettant la solidité ou rendant l'ouvrage impropre à sa destination dans les conditions qu'il définit. (N01-C037 ; N01-SRC-015 ; article 1792,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L'article L242-1 prévoit, pour les personnes et travaux entrant dans son champ, une assurance souscrite avant l'ouverture du chantier garantissant le paiement de travaux de réparation de certains dommages. (N01-C044 ; N01-SRC-017 ; article L242-1, premier alinéa).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Aucune couverture ne peut être déduite du seul intitulé d'une attestation ou d'un principe légal.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Auditer TRV-P009 et produire une fiche qui conclut uniquement sur les vérifications possibles et impossibles.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Orientation et diagnostic initial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IEB-N01-ACT-17-01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Apports guidés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IEB-N01-ACT-17-01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obligatoire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IEB-N01-ACT-17-01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reprise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IEB-N01-ACT-17-01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IEB-N01-DEL-17 — Fiche acteurs-dates-travaux-dommages-contrats-pièces manquantes.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Pièces synthétiques en texte balisé et tableau de vérification accessible.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IEB-N01-U18 — Jour 9 — Contradiction, litige et voies amiables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Organiser les positions contradictoires et présenter des voies de traitement possibles sans prescrire une stratégie juridique.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contradiction commence par une représentation loyale des positions. Les voies amiables peuvent traiter tout ou partie d'un différend, mais leur choix appartient aux parties et conseils.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Attribuer chaque position.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Séparer accord, désaccord et absence de réponse.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Relier les preuves invoquées.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Décrire les intérêts et décisions recherchées.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Présenter les familles de voies sans prescrire.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Identifier les conditions de poursuite ou de relais.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La conciliation, la médiation et la procédure participative font partie des voies présentées pour rechercher un accord amiable. (N01-C046 ; N01-SRC-018 ; section Conciliation, médiation et autres modes amiables).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contrats légalement formés tiennent lieu de loi à ceux qui les ont faits. (N01-C039 ; N01-SRC-016 ; article 1103).</w:t>
      </w:r>
    </w:p>
    <w:p>
      <w:r>
        <w:rPr>
          <w:rFonts w:ascii="Calibri" w:hAnsi="Calibri"/>
          <w:b w:val="0"/>
          <w:i w:val="0"/>
          <w:color w:val="252A2C"/>
          <w:sz w:val="22"/>
        </w:rPr>
        <w:t>Une solution amiable peut être recherchée avant ou, selon la procédure, pendant un procès. (N01-C047 ; N01-SRC-018 ; introduction et section Je suis déjà en procès).</w:t>
      </w:r>
    </w:p>
    <w:p>
      <w:r>
        <w:rPr>
          <w:rFonts w:ascii="Calibri" w:hAnsi="Calibri"/>
          <w:b w:val="0"/>
          <w:i w:val="0"/>
          <w:color w:val="252A2C"/>
          <w:sz w:val="22"/>
        </w:rPr>
        <w:t>L'inexécution ou le retard peut ouvrir droit à des dommages et intérêts dans les conditions prévues par l'article 1231-1. (N01-C040 ; N01-SRC-016 ; article 1231-1).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Neutralité ne signifie pas mettre au même niveau une affirmation documentée et une affirmation sans preuve ; leur statut doit être visible.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Cartographier TRV-P010, puis proposer deux objets limités de discussion amiable compatibles avec la préservation de la preuve.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Prise en main des pièces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IEB-N01-ACT-18-01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 et hypothèses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IEB-N01-ACT-18-01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sur cas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IEB-N01-ACT-18-01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reprise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IEB-N01-ACT-18-01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IEB-N01-DEL-18 — Carte des positions et options de traitement.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Débat remplacé si nécessaire par contributions écrites contradictoires et temps équivalent.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IEB-N01-U19 — Jour 10 — Conduire une mission technique ordonnée par le juge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Construire un plan de mission répondant aux questions de fait, au contradictoire, aux délais et aux limites de l'avis technique.</w:t>
      </w:r>
    </w:p>
    <w:p>
      <w:r>
        <w:rPr>
          <w:rFonts w:ascii="Calibri" w:hAnsi="Calibri"/>
          <w:b w:val="0"/>
          <w:i w:val="0"/>
          <w:color w:val="252A2C"/>
          <w:sz w:val="22"/>
        </w:rPr>
        <w:t>Dans une mission ordonnée par un juge, le technicien répond aux questions de fait, personnellement, objectivement et dans les délais. La feuille de route relie chaque point de mission à une opération et une preuve.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Reproduire fidèlement les points de mission.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Identifier les questions de fait.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Planifier convocations et opérations.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Organiser observations et réclamations.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Fixer jalons et besoins de délai.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Borner l'avis technique et les concours spécialisés.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juge peut confier une constatation, une consultation ou une expertise sur une question de fait qui requiert les lumières d'un technicien. (N01-C001 ; N01-SRC-001 ; article 232).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technicien doit remplir personnellement la mission qui lui est confiée. (N01-C002 ; N01-SRC-001 ; article 233).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Le technicien ne complète pas silencieusement la mission et ne porte pas d'appréciation juridique.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Transformer TRV-P007 en feuille de route judiciaire synthétique avec points, opérations, preuves, contradiction et limites.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Orientation et diagnostic initial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IEB-N01-ACT-19-01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Apports guidés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IEB-N01-ACT-19-01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obligatoire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IEB-N01-ACT-19-01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reprise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IEB-N01-ACT-19-01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IEB-N01-DEL-19 — Feuille de route questions-opérations-contradiction-délais-limites.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Ordonnance synthétique balisée et feuille de route dans un gabarit accessible.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IEB-N01-U20 — Jour 10 — Indépendance, inscription et limites du statut d'expert judiciaire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Expliquer les conditions générales et les limites du parcours IEB sans promettre une inscription ou un statut.</w:t>
      </w:r>
    </w:p>
    <w:p>
      <w:r>
        <w:rPr>
          <w:rFonts w:ascii="Calibri" w:hAnsi="Calibri"/>
          <w:b w:val="0"/>
          <w:i w:val="0"/>
          <w:color w:val="252A2C"/>
          <w:sz w:val="22"/>
        </w:rPr>
        <w:t>Une formation prépare des compétences ; elle ne vaut ni inscription sur une liste ni autorisation d'utiliser un titre réservé. La candidature officielle reste une procédure distincte examinée par la juridiction.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Distinguer formation, expérience et qualification.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Identifier les conditions générales officielles.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Repérer indépendance et incompatibilités.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Consulter la campagne et les documents à jour.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Présenter la décision comme externe au parcours.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Rédiger sans promesse de statut.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Des listes d'experts judiciaires sont établies par la Cour de cassation et par chaque cour d'appel. (N01-C006 ; N01-SRC-002 ; article 2, I).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candidat personne physique doit avoir exercé pendant un temps suffisant une activité en rapport avec la spécialité demandée. (N01-C009 ; N01-SRC-003 ; article 2, 4°).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Cour de cassation publie les dossiers, notices et guides correspondant aux campagnes annuelles d'inscription ou de réinscription. (N01-C013 ; N01-SRC-004 ; rubriques Documentation et Candidature en 2026 pour une inscription en 2027).</w:t>
      </w:r>
    </w:p>
    <w:p>
      <w:r>
        <w:rPr>
          <w:rFonts w:ascii="Calibri" w:hAnsi="Calibri"/>
          <w:b w:val="0"/>
          <w:i w:val="0"/>
          <w:color w:val="252A2C"/>
          <w:sz w:val="22"/>
        </w:rPr>
        <w:t>L'inscription initiale sur une liste de cour d'appel est probatoire pendant trois ans et la réinscription est examinée pour cinq ans. (N01-C007 ; N01-SRC-002 ; article 2, II).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Toute communication doit éviter certification professionnelle, inscription automatique ou titre réservé sans preuve correspondante.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Rédiger une note expliquant ce que l'attestation de réussite IEB établit et ce qu'elle n'établit pas.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25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Orientation et diagnostic initial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IEB-N01-ACT-20-01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Apports guidés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IEB-N01-ACT-20-01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Production obligatoire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IEB-N01-ACT-20-01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30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et reprise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IEB-N01-ACT-20-01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IEB-N01-DEL-20 — Note de limites et parcours officiel de candidature.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Documents officiels en formats accessibles ou transcriptions autorisées, sans reproduction de source protégée.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IEB-N01-U21 — Jour 11 — Laboratoire de cadrage juridique et assurantiel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Produire une note provisoire distinguant faits techniques, responsabilités à qualifier, garanties à vérifier et relais nécessaires.</w:t>
      </w:r>
    </w:p>
    <w:p>
      <w:r>
        <w:rPr>
          <w:rFonts w:ascii="Calibri" w:hAnsi="Calibri"/>
          <w:b w:val="0"/>
          <w:i w:val="0"/>
          <w:color w:val="252A2C"/>
          <w:sz w:val="22"/>
        </w:rPr>
        <w:t>Le laboratoire croise faits techniques, contrats, garanties, positions et relais. La note provisoire reste structurée même lorsque la qualification finale est impossible.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Résumer la mission et les faits.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Dresser la chronologie juridique utile.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Relier acteurs, contrats et assurances.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Classer les pièces manquantes.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Séparer analyse technique et questions réservées.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Proposer les prochaines vérifications.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juge peut confier une constatation, une consultation ou une expertise sur une question de fait qui requiert les lumières d'un technicien. (N01-C001 ; N01-SRC-001 ; article 232).</w:t>
      </w:r>
    </w:p>
    <w:p>
      <w:r>
        <w:rPr>
          <w:rFonts w:ascii="Calibri" w:hAnsi="Calibri"/>
          <w:b w:val="0"/>
          <w:i w:val="0"/>
          <w:color w:val="252A2C"/>
          <w:sz w:val="22"/>
        </w:rPr>
        <w:t>L'article 1792 pose une responsabilité de plein droit du constructeur envers le maître ou l'acquéreur de l'ouvrage pour certains dommages. (N01-C036 ; N01-SRC-015 ; article 1792, premier alinéa).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contrats légalement formés tiennent lieu de loi à ceux qui les ont faits. (N01-C039 ; N01-SRC-016 ; article 1103).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personne dont la responsabilité décennale peut être engagée sur le fondement des articles 1792 et suivants doit être couverte dans les conditions de l'article L241-1. (N01-C043 ; N01-SRC-017 ; article L241-1).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Une note bornée n'est pas une note vague : elle nomme précisément les éléments à qualifier et les raisons.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Analyser TRV-P007 à TRV-P011 et produire la note faits-questions-garanties-pièces-relais.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Analyser la variante juridique et assurantielle synthétique du dossier Traverse.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IEB-N01-ACT-21-01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105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Finaliser une note évaluable et une auto-revue de ses limites.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IEB-N01-ACT-21-02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IEB-N01-DEL-21 — Note faits-questions-garanties-pièces-relais.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Cas textuel, pièces synthétiques balisées et temps de production identique.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IEB-N01-U22 — Jour 11 — Production de bloc B2 — note de cadrage de mission</w:t>
      </w: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Objectif — </w:t>
      </w:r>
      <w:r>
        <w:rPr>
          <w:rFonts w:ascii="Calibri" w:hAnsi="Calibri"/>
          <w:b w:val="0"/>
          <w:i w:val="0"/>
          <w:color w:val="252A2C"/>
          <w:sz w:val="21"/>
        </w:rPr>
        <w:t>Défendre une note de mission, ses limites, ses besoins de preuve et les options de traitement devant une contradiction accompagnée.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production B2 défend un cadrage de mission et non une solution juridique. Elle expose les faits, les questions, les preuves, les options à qualifier, les limites et les relais.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Méthode en six gestes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Vérifier l'attribution des positions.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Contrôler dates et versions.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Séparer fait, hypothèse et qualification.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Traiter chaque objection.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Rendre visibles les pièces manquantes.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Réviser la note avec la rubrique B2.</w:t>
      </w:r>
    </w:p>
    <w:p>
      <w:pPr>
        <w:pStyle w:val="Heading2"/>
        <w:pageBreakBefore w:val="0"/>
      </w:pPr>
      <w:r>
        <w:rPr>
          <w:rFonts w:ascii="Calibri" w:hAnsi="Calibri"/>
          <w:b/>
          <w:i w:val="0"/>
          <w:color w:val="C66B32"/>
          <w:sz w:val="26"/>
        </w:rPr>
        <w:t>Repères sourcés</w:t>
      </w:r>
    </w:p>
    <w:p>
      <w:r>
        <w:rPr>
          <w:rFonts w:ascii="Calibri" w:hAnsi="Calibri"/>
          <w:b w:val="0"/>
          <w:i w:val="0"/>
          <w:color w:val="252A2C"/>
          <w:sz w:val="22"/>
        </w:rPr>
        <w:t>Le juge peut confier une constatation, une consultation ou une expertise sur une question de fait qui requiert les lumières d'un technicien. (N01-C001 ; N01-SRC-001 ; article 232).</w:t>
      </w:r>
    </w:p>
    <w:p>
      <w:r>
        <w:rPr>
          <w:rFonts w:ascii="Calibri" w:hAnsi="Calibri"/>
          <w:b w:val="0"/>
          <w:i w:val="0"/>
          <w:color w:val="252A2C"/>
          <w:sz w:val="22"/>
        </w:rPr>
        <w:t>Les contrats légalement formés tiennent lieu de loi à ceux qui les ont faits. (N01-C039 ; N01-SRC-016 ; article 1103).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personne dont la responsabilité décennale peut être engagée sur le fondement des articles 1792 et suivants doit être couverte dans les conditions de l'article L241-1. (N01-C043 ; N01-SRC-017 ; article L241-1).</w:t>
      </w:r>
    </w:p>
    <w:p>
      <w:r>
        <w:rPr>
          <w:rFonts w:ascii="Calibri" w:hAnsi="Calibri"/>
          <w:b w:val="0"/>
          <w:i w:val="0"/>
          <w:color w:val="252A2C"/>
          <w:sz w:val="22"/>
        </w:rPr>
        <w:t>La conciliation, la médiation et la procédure participative font partie des voies présentées pour rechercher un accord amiable. (N01-C046 ; N01-SRC-018 ; section Conciliation, médiation et autres modes amiables).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Angle mort — </w:t>
      </w:r>
      <w:r>
        <w:rPr>
          <w:rFonts w:ascii="Calibri" w:hAnsi="Calibri"/>
          <w:b w:val="0"/>
          <w:i w:val="0"/>
          <w:color w:val="252A2C"/>
          <w:sz w:val="21"/>
        </w:rPr>
        <w:t>Une soutenance réussie accepte de retirer une formulation excessive lorsqu'aucune preuve ne la soutient.</w:t>
      </w:r>
    </w:p>
    <w:p>
      <w:pPr>
        <w:pStyle w:val="Heading2"/>
        <w:pageBreakBefore/>
      </w:pPr>
      <w:r>
        <w:rPr>
          <w:rFonts w:ascii="Calibri" w:hAnsi="Calibri"/>
          <w:b/>
          <w:i w:val="0"/>
          <w:color w:val="C66B32"/>
          <w:sz w:val="26"/>
        </w:rPr>
        <w:t>Application Traverse</w:t>
      </w:r>
    </w:p>
    <w:p>
      <w:r>
        <w:rPr>
          <w:rFonts w:ascii="Calibri" w:hAnsi="Calibri"/>
          <w:b w:val="0"/>
          <w:i w:val="0"/>
          <w:color w:val="252A2C"/>
          <w:sz w:val="22"/>
        </w:rPr>
        <w:t>Présenter la note Traverse B2, répondre aux objections puis remettre une version révisée.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1440"/>
        <w:gridCol w:w="6336"/>
        <w:gridCol w:w="1584"/>
      </w:tblGrid>
      <w:tr>
        <w:trPr>
          <w:tblHeader w:val="true"/>
          <w:cantSplit w:val="true"/>
        </w:trPr>
        <w:tc>
          <w:tcPr>
            <w:tcW w:type="dxa" w:w="1440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Temps</w:t>
            </w:r>
          </w:p>
        </w:tc>
        <w:tc>
          <w:tcPr>
            <w:tcW w:type="dxa" w:w="6336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Travail obligatoire</w:t>
            </w:r>
          </w:p>
        </w:tc>
        <w:tc>
          <w:tcPr>
            <w:tcW w:type="dxa" w:w="1584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Activité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50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Préparation individuelle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IEB-N01-ACT-22-01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90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Contradiction accompagnée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IEB-N01-ACT-22-01</w:t>
            </w:r>
          </w:p>
        </w:tc>
      </w:tr>
      <w:tr>
        <w:trPr>
          <w:cantSplit w:val="true"/>
        </w:trPr>
        <w:tc>
          <w:tcPr>
            <w:tcW w:type="dxa" w:w="144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70 min</w:t>
            </w:r>
          </w:p>
        </w:tc>
        <w:tc>
          <w:tcPr>
            <w:tcW w:type="dxa" w:w="63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Révision et journal</w:t>
            </w:r>
          </w:p>
        </w:tc>
        <w:tc>
          <w:tcPr>
            <w:tcW w:type="dxa" w:w="1584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IEB-N01-ACT-22-01</w:t>
            </w:r>
          </w:p>
        </w:tc>
      </w:tr>
    </w:tbl>
    <w:p>
      <w:pPr>
        <w:spacing w:after="20"/>
      </w:pPr>
    </w:p>
    <w:p>
      <w:pPr>
        <w:spacing w:before="80" w:after="160"/>
        <w:ind w:left="115" w:right="115"/>
        <w:shd w:fill="E9EFEA"/>
      </w:pPr>
      <w:r>
        <w:rPr>
          <w:rFonts w:ascii="Calibri" w:hAnsi="Calibri"/>
          <w:b/>
          <w:i w:val="0"/>
          <w:color w:val="C66B32"/>
          <w:sz w:val="21"/>
        </w:rPr>
        <w:t xml:space="preserve">Livrable — </w:t>
      </w:r>
      <w:r>
        <w:rPr>
          <w:rFonts w:ascii="Calibri" w:hAnsi="Calibri"/>
          <w:b w:val="0"/>
          <w:i w:val="0"/>
          <w:color w:val="252A2C"/>
          <w:sz w:val="21"/>
        </w:rPr>
        <w:t>IEB-N01-BLOCK-OUTPUT-02 — Note de cadrage de mission, limites et options de traitement.</w:t>
      </w:r>
    </w:p>
    <w:p>
      <w:pPr>
        <w:spacing w:before="80" w:after="160"/>
        <w:ind w:left="115" w:right="115"/>
        <w:shd w:fill="F3F5F3"/>
      </w:pPr>
      <w:r>
        <w:rPr>
          <w:rFonts w:ascii="Calibri" w:hAnsi="Calibri"/>
          <w:b/>
          <w:i w:val="0"/>
          <w:color w:val="C66B32"/>
          <w:sz w:val="21"/>
        </w:rPr>
        <w:t xml:space="preserve">Équivalent accessible — </w:t>
      </w:r>
      <w:r>
        <w:rPr>
          <w:rFonts w:ascii="Calibri" w:hAnsi="Calibri"/>
          <w:b w:val="0"/>
          <w:i w:val="0"/>
          <w:color w:val="252A2C"/>
          <w:sz w:val="21"/>
        </w:rPr>
        <w:t>Soutenance en direct, audio asynchrone ou note contradictoire écrite, avec même rubrique et charge utile.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Contrôle final de la production B2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Les questions de fait sont séparées des qualifications juridiques à confirmer.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Chaque acteur, contrat, date, position et pièce possède un statut traçable.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Les garanties sont présentées comme des vérifications à mener, jamais comme acquises.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Les positions contradictoires sont attribuées et leur niveau de preuve est visible.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La feuille de route respecte les points de mission et les limites de l'avis technique.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L'attestation IEB est distinguée de toute certification ou inscription officielle.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Les objections et leurs effets sur la note finale sont journalisés.</w:t>
      </w:r>
    </w:p>
    <w:p>
      <w:pPr>
        <w:pStyle w:val="ListBullet"/>
      </w:pPr>
      <w:r>
        <w:rPr>
          <w:rFonts w:ascii="Calibri" w:hAnsi="Calibri"/>
          <w:b w:val="0"/>
          <w:i w:val="0"/>
          <w:color w:val="252A2C"/>
          <w:sz w:val="22"/>
        </w:rPr>
        <w:t>Aucune donnée réelle, promesse de statut ou source protégée n'est introduite.</w:t>
      </w: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N-01  |  Devenir expert en bâtiment — parcours NéoExpert©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N-01 - Support apprenant - bloc B2</dc:title>
  <dc:subject>Devenir expert en bâtiment — parcours NéoExpert©</dc:subject>
  <dc:creator>Institut de l'Expertise en Bâtiment</dc:creator>
  <cp:keywords>NéoExpert, droit, assurances, contradiction, Dossier Traverse</cp:keywords>
  <dc:description>Bloc B2 - Dossier Traverse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