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pBdr>
          <w:bottom w:val="single" w:sz="22" w:space="8" w:color="B8663B"/>
        </w:pBdr>
      </w:pPr>
      <w:r>
        <w:rPr>
          <w:rFonts w:ascii="Calibri" w:hAnsi="Calibri"/>
          <w:b/>
          <w:color w:val="1D2A33"/>
          <w:sz w:val="56"/>
        </w:rPr>
        <w:t>IEB</w:t>
      </w:r>
      <w:r>
        <w:rPr>
          <w:rFonts w:ascii="Calibri" w:hAnsi="Calibri"/>
          <w:b/>
          <w:color w:val="4E5F69"/>
          <w:sz w:val="17"/>
        </w:rPr>
        <w:t xml:space="preserve">   INSTITUT DE L’EXPERTISE EN BÂTIMENT</w:t>
      </w:r>
    </w:p>
    <w:p>
      <w:pPr>
        <w:keepNext w:val="0"/>
        <w:spacing w:before="0" w:after="68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</w:r>
    </w:p>
    <w:p>
      <w:pPr>
        <w:keepNext w:val="0"/>
        <w:spacing w:before="0" w:after="280" w:line="300" w:lineRule="auto"/>
        <w:jc w:val="center"/>
      </w:pPr>
      <w:r>
        <w:rPr>
          <w:rFonts w:ascii="Calibri" w:hAnsi="Calibri"/>
          <w:b/>
          <w:i w:val="0"/>
          <w:color w:val="B8663B"/>
          <w:sz w:val="19"/>
        </w:rPr>
        <w:t>P-02  /  SUPPORT APPRENANT</w:t>
      </w:r>
    </w:p>
    <w:p>
      <w:pPr>
        <w:keepNext w:val="0"/>
        <w:spacing w:before="0" w:after="200" w:line="300" w:lineRule="auto"/>
        <w:jc w:val="center"/>
      </w:pPr>
      <w:r>
        <w:rPr>
          <w:rFonts w:ascii="Calibri" w:hAnsi="Calibri"/>
          <w:b/>
          <w:i w:val="0"/>
          <w:color w:val="1D2A33"/>
          <w:sz w:val="54"/>
        </w:rPr>
        <w:t>Observer, documenter et orienter les situations de fissuration</w:t>
      </w:r>
    </w:p>
    <w:p>
      <w:pPr>
        <w:keepNext w:val="0"/>
        <w:spacing w:before="0" w:after="600" w:line="300" w:lineRule="auto"/>
        <w:jc w:val="center"/>
      </w:pPr>
      <w:r>
        <w:rPr>
          <w:rFonts w:ascii="Calibri" w:hAnsi="Calibri"/>
          <w:b w:val="0"/>
          <w:i w:val="0"/>
          <w:color w:val="4E5F69"/>
          <w:sz w:val="28"/>
        </w:rPr>
        <w:t>Repères sélectifs du cours P-02 — structures, fondations et fissures</w:t>
      </w:r>
    </w:p>
    <w:p>
      <w:pPr>
        <w:keepNext w:val="0"/>
        <w:spacing w:before="0" w:after="840" w:line="300" w:lineRule="auto"/>
        <w:jc w:val="center"/>
      </w:pPr>
      <w:r>
        <w:rPr>
          <w:rFonts w:ascii="Calibri" w:hAnsi="Calibri"/>
          <w:b/>
          <w:i w:val="0"/>
          <w:color w:val="B8663B"/>
          <w:sz w:val="18"/>
        </w:rPr>
        <w:t>EXPERTISE DE TERRAIN • OBSERVER • DOCUMENTER • ORIENTER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400"/>
        <w:gridCol w:w="7692"/>
      </w:tblGrid>
      <w:tr>
        <w:trPr>
          <w:tblHeader w:val="true"/>
        </w:trP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D2A33"/>
                <w:sz w:val="19"/>
              </w:rPr>
              <w:t>Repère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D2A33"/>
                <w:sz w:val="19"/>
              </w:rPr>
              <w:t>Valeur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Cours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Pathologies structurelles, fondations et fissures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Version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0.3.1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Durée présentielle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420 minutes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Usage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Support apprenant complet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Référence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Parcours P-02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Repère pédagogique — </w:t>
      </w:r>
      <w:r>
        <w:rPr>
          <w:rFonts w:ascii="Calibri" w:hAnsi="Calibri"/>
          <w:b w:val="0"/>
          <w:color w:val="1D2A33"/>
          <w:sz w:val="21"/>
        </w:rPr>
        <w:t>Ce support entraîne l’observation, la traçabilité et l’orientation sans produire de diagnostic à distance.</w:t>
      </w:r>
    </w:p>
    <w:p>
      <w:r>
        <w:br w:type="page"/>
      </w:r>
    </w:p>
    <w:p>
      <w:pPr>
        <w:pStyle w:val="Heading1"/>
      </w:pPr>
      <w:r>
        <w:t>Mode d’emploi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Utilisez ce support pour suivre le parcours, relire les notions essentielles et préparer leur mise en pratique.</w:t>
      </w: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de parcours — </w:t>
      </w:r>
      <w:r>
        <w:rPr>
          <w:rFonts w:ascii="Calibri" w:hAnsi="Calibri"/>
          <w:b w:val="0"/>
          <w:color w:val="1D2A33"/>
          <w:sz w:val="21"/>
        </w:rPr>
        <w:t>Le parcours va du visible vers les informations manquantes, les hypothèses concurrentes et la transmission.</w:t>
      </w: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documenté — </w:t>
      </w:r>
      <w:r>
        <w:rPr>
          <w:rFonts w:ascii="Calibri" w:hAnsi="Calibri"/>
          <w:b w:val="0"/>
          <w:color w:val="1D2A33"/>
          <w:sz w:val="21"/>
        </w:rPr>
        <w:t>La forme, la localisation et l’évolution d’une fissure sont des indices descriptifs ; elles ne suffisent pas, à elles seules, à établir sa cause.</w:t>
      </w:r>
    </w:p>
    <w:p>
      <w:pPr>
        <w:spacing w:before="80" w:after="160" w:line="276" w:lineRule="auto"/>
        <w:ind w:left="160" w:right="160"/>
        <w:shd w:fill="F6EBDD"/>
        <w:pBdr>
          <w:left w:val="single" w:sz="18" w:space="6" w:color="75491F"/>
        </w:pBdr>
      </w:pPr>
      <w:r>
        <w:rPr>
          <w:rFonts w:ascii="Calibri" w:hAnsi="Calibri"/>
          <w:b/>
          <w:color w:val="75491F"/>
          <w:sz w:val="21"/>
        </w:rPr>
        <w:t xml:space="preserve">Cas synthétique — </w:t>
      </w:r>
      <w:r>
        <w:rPr>
          <w:rFonts w:ascii="Calibri" w:hAnsi="Calibri"/>
          <w:b w:val="0"/>
          <w:color w:val="1D2A33"/>
          <w:sz w:val="21"/>
        </w:rPr>
        <w:t>Aucun dossier réel, nom, adresse, mission, photographie ou donnée personnelle n’est utilisé.</w:t>
      </w:r>
    </w:p>
    <w:p>
      <w:pPr>
        <w:pStyle w:val="Heading1"/>
      </w:pPr>
      <w:r>
        <w:t>Votre résultat attendu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À la fin de la journée, vous devez pouvoir produire un relevé qui distingue ce qui est observé, ce qui manque, les hypothèses ouvertes et la suite proportionnée. Le cours n’apprend pas à conclure à distance à partir d’une forme de fissure.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600"/>
        <w:gridCol w:w="6492"/>
      </w:tblGrid>
      <w:tr>
        <w:trPr>
          <w:tblHeader w:val="true"/>
        </w:trPr>
        <w:tc>
          <w:tcPr>
            <w:tcW w:type="dxa" w:w="36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64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Preuve produite</w:t>
            </w:r>
          </w:p>
        </w:tc>
      </w:tr>
      <w:tr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Décrire sans surinterpréter</w:t>
            </w:r>
          </w:p>
        </w:tc>
        <w:tc>
          <w:tcPr>
            <w:tcW w:type="dxa" w:w="6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Formulations factuelles et indices localisés</w:t>
            </w:r>
          </w:p>
        </w:tc>
      </w:tr>
      <w:tr>
        <w:tc>
          <w:tcPr>
            <w:tcW w:type="dxa" w:w="36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Tracer les lacunes</w:t>
            </w:r>
          </w:p>
        </w:tc>
        <w:tc>
          <w:tcPr>
            <w:tcW w:type="dxa" w:w="64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Relevé structuré et liste d’informations manquantes</w:t>
            </w:r>
          </w:p>
        </w:tc>
      </w:tr>
      <w:tr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Orienter dans son rôle</w:t>
            </w:r>
          </w:p>
        </w:tc>
        <w:tc>
          <w:tcPr>
            <w:tcW w:type="dxa" w:w="6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Hypothèses concurrentes, question d’investigation et transmission prudente</w:t>
            </w:r>
          </w:p>
        </w:tc>
      </w:tr>
    </w:tbl>
    <w:p>
      <w:pPr>
        <w:spacing w:after="40"/>
      </w:pPr>
    </w:p>
    <w:p>
      <w:pPr>
        <w:pStyle w:val="Heading1"/>
      </w:pPr>
      <w:r>
        <w:t>Le réflexe en cinq questions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Qu’est-ce qui est réellement disponible ?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Quelle est la qualité de cette information ?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Qu’est-ce qui manque ?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Quelles explications restent possibles ?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Quelle suite est proportionnée à mon rôle et à mon niveau de certitude ?</w:t>
      </w: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— </w:t>
      </w:r>
      <w:r>
        <w:rPr>
          <w:rFonts w:ascii="Calibri" w:hAnsi="Calibri"/>
          <w:b w:val="0"/>
          <w:color w:val="1D2A33"/>
          <w:sz w:val="21"/>
        </w:rPr>
        <w:t>Une information absente doit être rendue visible au lieu d’être remplacée par une supposition.</w:t>
      </w:r>
    </w:p>
    <w:p>
      <w:r>
        <w:br w:type="page"/>
      </w:r>
    </w:p>
    <w:p>
      <w:pPr>
        <w:pStyle w:val="Heading1"/>
      </w:pPr>
      <w:r>
        <w:t>1. Vocabulaire de prudence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000"/>
        <w:gridCol w:w="4300"/>
        <w:gridCol w:w="3792"/>
      </w:tblGrid>
      <w:tr>
        <w:trPr>
          <w:tblHeader w:val="true"/>
        </w:trPr>
        <w:tc>
          <w:tcPr>
            <w:tcW w:type="dxa" w:w="2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Terme</w:t>
            </w:r>
          </w:p>
        </w:tc>
        <w:tc>
          <w:tcPr>
            <w:tcW w:type="dxa" w:w="43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Usage dans le cours</w:t>
            </w:r>
          </w:p>
        </w:tc>
        <w:tc>
          <w:tcPr>
            <w:tcW w:type="dxa" w:w="37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Erreur à éviter</w:t>
            </w:r>
          </w:p>
        </w:tc>
      </w:tr>
      <w:tr>
        <w:tc>
          <w:tcPr>
            <w:tcW w:type="dxa" w:w="2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Manifestation</w:t>
            </w:r>
          </w:p>
        </w:tc>
        <w:tc>
          <w:tcPr>
            <w:tcW w:type="dxa" w:w="4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Ce qui est décrit comme visible ou observable.</w:t>
            </w:r>
          </w:p>
        </w:tc>
        <w:tc>
          <w:tcPr>
            <w:tcW w:type="dxa" w:w="37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La présenter comme une cause.</w:t>
            </w:r>
          </w:p>
        </w:tc>
      </w:tr>
      <w:tr>
        <w:tc>
          <w:tcPr>
            <w:tcW w:type="dxa" w:w="2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Indice</w:t>
            </w:r>
          </w:p>
        </w:tc>
        <w:tc>
          <w:tcPr>
            <w:tcW w:type="dxa" w:w="4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Information qui soutient ou contredit une hypothèse.</w:t>
            </w:r>
          </w:p>
        </w:tc>
        <w:tc>
          <w:tcPr>
            <w:tcW w:type="dxa" w:w="37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Le traiter comme preuve suffisante.</w:t>
            </w:r>
          </w:p>
        </w:tc>
      </w:tr>
      <w:tr>
        <w:tc>
          <w:tcPr>
            <w:tcW w:type="dxa" w:w="2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Hypothèse</w:t>
            </w:r>
          </w:p>
        </w:tc>
        <w:tc>
          <w:tcPr>
            <w:tcW w:type="dxa" w:w="4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Explication possible ouverte à la contradiction.</w:t>
            </w:r>
          </w:p>
        </w:tc>
        <w:tc>
          <w:tcPr>
            <w:tcW w:type="dxa" w:w="37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La présenter comme diagnostic.</w:t>
            </w:r>
          </w:p>
        </w:tc>
      </w:tr>
      <w:tr>
        <w:tc>
          <w:tcPr>
            <w:tcW w:type="dxa" w:w="2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Conclusion</w:t>
            </w:r>
          </w:p>
        </w:tc>
        <w:tc>
          <w:tcPr>
            <w:tcW w:type="dxa" w:w="43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Réponse bornée par les preuves, les sources et la mission.</w:t>
            </w:r>
          </w:p>
        </w:tc>
        <w:tc>
          <w:tcPr>
            <w:tcW w:type="dxa" w:w="37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Dépasser le champ établi.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— </w:t>
      </w:r>
      <w:r>
        <w:rPr>
          <w:rFonts w:ascii="Calibri" w:hAnsi="Calibri"/>
          <w:b w:val="0"/>
          <w:color w:val="1D2A33"/>
          <w:sz w:val="21"/>
        </w:rPr>
        <w:t>Ces quatre définitions forment le cadre pédagogique utilisé dans tout le parcours.</w:t>
      </w:r>
    </w:p>
    <w:p>
      <w:pPr>
        <w:pStyle w:val="Heading1"/>
      </w:pPr>
      <w:r>
        <w:t>2. Partir de l’ouvrage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000"/>
        <w:gridCol w:w="7092"/>
      </w:tblGrid>
      <w:tr>
        <w:trPr>
          <w:tblHeader w:val="true"/>
        </w:trPr>
        <w:tc>
          <w:tcPr>
            <w:tcW w:type="dxa" w:w="3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Question</w:t>
            </w:r>
          </w:p>
        </w:tc>
        <w:tc>
          <w:tcPr>
            <w:tcW w:type="dxa" w:w="70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Trace attendue</w:t>
            </w:r>
          </w:p>
        </w:tc>
      </w:tr>
      <w:tr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Quel élément ?</w:t>
            </w:r>
          </w:p>
        </w:tc>
        <w:tc>
          <w:tcPr>
            <w:tcW w:type="dxa" w:w="7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Dénomination prudente et zone généralisée</w:t>
            </w:r>
          </w:p>
        </w:tc>
      </w:tr>
      <w:tr>
        <w:tc>
          <w:tcPr>
            <w:tcW w:type="dxa" w:w="3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Où dans l’ensemble ?</w:t>
            </w:r>
          </w:p>
        </w:tc>
        <w:tc>
          <w:tcPr>
            <w:tcW w:type="dxa" w:w="7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Niveau, façade, interface ou voisinage</w:t>
            </w:r>
          </w:p>
        </w:tc>
      </w:tr>
      <w:tr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 voit-on ?</w:t>
            </w:r>
          </w:p>
        </w:tc>
        <w:tc>
          <w:tcPr>
            <w:tcW w:type="dxa" w:w="7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Forme, orientation, support, continuité et étendue</w:t>
            </w:r>
          </w:p>
        </w:tc>
      </w:tr>
      <w:tr>
        <w:tc>
          <w:tcPr>
            <w:tcW w:type="dxa" w:w="3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Dans quelles conditions ?</w:t>
            </w:r>
          </w:p>
        </w:tc>
        <w:tc>
          <w:tcPr>
            <w:tcW w:type="dxa" w:w="7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Accès, éclairage, obstacles et limites</w:t>
            </w:r>
          </w:p>
        </w:tc>
      </w:tr>
      <w:tr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Quelles pièces ?</w:t>
            </w:r>
          </w:p>
        </w:tc>
        <w:tc>
          <w:tcPr>
            <w:tcW w:type="dxa" w:w="7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Plans, historique, études, relevés ou absence</w:t>
            </w:r>
          </w:p>
        </w:tc>
      </w:tr>
      <w:tr>
        <w:tc>
          <w:tcPr>
            <w:tcW w:type="dxa" w:w="3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 manque-t-il ?</w:t>
            </w:r>
          </w:p>
        </w:tc>
        <w:tc>
          <w:tcPr>
            <w:tcW w:type="dxa" w:w="7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Question précise, jamais donnée inventée</w:t>
            </w:r>
          </w:p>
        </w:tc>
      </w:tr>
    </w:tbl>
    <w:p>
      <w:pPr>
        <w:spacing w:after="40"/>
      </w:pPr>
    </w:p>
    <w:p>
      <w:pPr>
        <w:pStyle w:val="Heading1"/>
      </w:pPr>
      <w:r>
        <w:t>3. Décrire une fissure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support et zone de l’ouvrage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forme, orientation et continuité visibles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relation apparente avec une ouverture, une interface ou un changement de matériau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étendue, repère, date, conditions d’observation et évolution documentée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autres indices disponibles et limites de la visite.</w:t>
      </w:r>
    </w:p>
    <w:p>
      <w:pPr>
        <w:spacing w:before="80" w:after="160" w:line="276" w:lineRule="auto"/>
        <w:ind w:left="160" w:right="160"/>
        <w:shd w:fill="F6EBDD"/>
        <w:pBdr>
          <w:left w:val="single" w:sz="18" w:space="6" w:color="75491F"/>
        </w:pBdr>
      </w:pPr>
      <w:r>
        <w:rPr>
          <w:rFonts w:ascii="Calibri" w:hAnsi="Calibri"/>
          <w:b/>
          <w:color w:val="75491F"/>
          <w:sz w:val="21"/>
        </w:rPr>
        <w:t xml:space="preserve">Limite de lecture — </w:t>
      </w:r>
      <w:r>
        <w:rPr>
          <w:rFonts w:ascii="Calibri" w:hAnsi="Calibri"/>
          <w:b w:val="0"/>
          <w:color w:val="1D2A33"/>
          <w:sz w:val="21"/>
        </w:rPr>
        <w:t>Cette grille descriptive ne fournit aucun seuil causal et n’associe pas automatiquement une forme à un mécanisme.</w:t>
      </w:r>
    </w:p>
    <w:p>
      <w:r>
        <w:br w:type="page"/>
      </w:r>
    </w:p>
    <w:p>
      <w:pPr>
        <w:pStyle w:val="Heading1"/>
      </w:pPr>
      <w:r>
        <w:t>4. Utiliser les trois colonnes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364"/>
        <w:gridCol w:w="3364"/>
        <w:gridCol w:w="3364"/>
      </w:tblGrid>
      <w:tr>
        <w:trPr>
          <w:tblHeader w:val="true"/>
        </w:trPr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Connu</w:t>
            </w:r>
          </w:p>
        </w:tc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Supposé</w:t>
            </w:r>
          </w:p>
        </w:tc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Manquant</w:t>
            </w:r>
          </w:p>
        </w:tc>
      </w:tr>
      <w:tr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Information fournie avec sa source et ses limites</w:t>
            </w:r>
          </w:p>
        </w:tc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Piste temporaire à ne pas présenter comme un fait</w:t>
            </w:r>
          </w:p>
        </w:tc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Information utile dont l’absence limite la conclusion</w:t>
            </w:r>
          </w:p>
        </w:tc>
      </w:tr>
    </w:tbl>
    <w:p>
      <w:pPr>
        <w:spacing w:after="40"/>
      </w:pP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Dans le cas synthétique, la forme et l’évolution générale sont décrites. Le sol d’assise, la géométrie, la profondeur et l’état des fondations ne sont pas documentés.</w:t>
      </w:r>
    </w:p>
    <w:p>
      <w:pPr>
        <w:pStyle w:val="Heading1"/>
      </w:pPr>
      <w:r>
        <w:t>5. Maintenir des hypothèses concurrentes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500"/>
        <w:gridCol w:w="2200"/>
        <w:gridCol w:w="2800"/>
        <w:gridCol w:w="2592"/>
      </w:tblGrid>
      <w:tr>
        <w:trPr>
          <w:tblHeader w:val="true"/>
        </w:trPr>
        <w:tc>
          <w:tcPr>
            <w:tcW w:type="dxa" w:w="25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Hypothèse</w:t>
            </w:r>
          </w:p>
        </w:tc>
        <w:tc>
          <w:tcPr>
            <w:tcW w:type="dxa" w:w="2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Appuis</w:t>
            </w:r>
          </w:p>
        </w:tc>
        <w:tc>
          <w:tcPr>
            <w:tcW w:type="dxa" w:w="28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Limites</w:t>
            </w:r>
          </w:p>
        </w:tc>
        <w:tc>
          <w:tcPr>
            <w:tcW w:type="dxa" w:w="25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Information attendue</w:t>
            </w:r>
          </w:p>
        </w:tc>
      </w:tr>
      <w:tr>
        <w:tc>
          <w:tcPr>
            <w:tcW w:type="dxa" w:w="2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Mouvement différentiel de fondation</w:t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Forme et évolution décrites</w:t>
            </w:r>
          </w:p>
        </w:tc>
        <w:tc>
          <w:tcPr>
            <w:tcW w:type="dxa" w:w="2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Sol et fondations non documentés ; aucune mesure</w:t>
            </w:r>
          </w:p>
        </w:tc>
        <w:tc>
          <w:tcPr>
            <w:tcW w:type="dxa" w:w="25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Reconnaissance adaptée, suivi et contexte</w:t>
            </w:r>
          </w:p>
        </w:tc>
      </w:tr>
      <w:tr>
        <w:tc>
          <w:tcPr>
            <w:tcW w:type="dxa" w:w="25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Mouvement local ou reprise d’enduit</w:t>
            </w:r>
          </w:p>
        </w:tc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Forme visible</w:t>
            </w:r>
          </w:p>
        </w:tc>
        <w:tc>
          <w:tcPr>
            <w:tcW w:type="dxa" w:w="28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Évolution générale rapportée ; historique absent</w:t>
            </w:r>
          </w:p>
        </w:tc>
        <w:tc>
          <w:tcPr>
            <w:tcW w:type="dxa" w:w="25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Observation rapprochée et historique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F6EBDD"/>
        <w:pBdr>
          <w:left w:val="single" w:sz="18" w:space="6" w:color="75491F"/>
        </w:pBdr>
      </w:pPr>
      <w:r>
        <w:rPr>
          <w:rFonts w:ascii="Calibri" w:hAnsi="Calibri"/>
          <w:b/>
          <w:color w:val="75491F"/>
          <w:sz w:val="21"/>
        </w:rPr>
        <w:t xml:space="preserve">Limite — </w:t>
      </w:r>
      <w:r>
        <w:rPr>
          <w:rFonts w:ascii="Calibri" w:hAnsi="Calibri"/>
          <w:b w:val="0"/>
          <w:color w:val="1D2A33"/>
          <w:sz w:val="21"/>
        </w:rPr>
        <w:t>Les niveaux de confiance appartiennent au cas fictif et ne constituent pas une cotation générale.</w:t>
      </w:r>
    </w:p>
    <w:p>
      <w:pPr>
        <w:pStyle w:val="Heading1"/>
      </w:pPr>
      <w:r>
        <w:t>6. Relier l’investigation à une question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Une proposition d’investigation doit pouvoir compléter la phrase : « cette information permettra de vérifier… ». Si la question n’est pas explicite, la proposition doit être reformulée ou réexaminée.</w:t>
      </w: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Test utile — </w:t>
      </w:r>
      <w:r>
        <w:rPr>
          <w:rFonts w:ascii="Calibri" w:hAnsi="Calibri"/>
          <w:b w:val="0"/>
          <w:color w:val="1D2A33"/>
          <w:sz w:val="21"/>
        </w:rPr>
        <w:t>Chaque investigation doit répondre à une question explicite et vérifiable.</w:t>
      </w:r>
    </w:p>
    <w:p>
      <w:r>
        <w:br w:type="page"/>
      </w:r>
    </w:p>
    <w:p>
      <w:pPr>
        <w:pStyle w:val="Heading1"/>
      </w:pPr>
      <w:r>
        <w:t>7. Lire une référence sans dépasser son champ</w:t>
      </w: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Fait établi et borné — </w:t>
      </w:r>
      <w:r>
        <w:rPr>
          <w:rFonts w:ascii="Calibri" w:hAnsi="Calibri"/>
          <w:b w:val="0"/>
          <w:color w:val="1D2A33"/>
          <w:sz w:val="21"/>
        </w:rPr>
        <w:t>Dans le champ de l’arrêté cité par P-02, l’étude géotechnique préalable sert à identifier les risques géotechniques du site et l’étude de conception fixe des prescriptions adaptées au sol et au projet.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Cette formulation est limitée aux articles 1 et 2 de la source. Elle ne permet pas d’affirmer que le texte s’applique automatiquement à tout bâtiment, toute date ou tout contexte.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000"/>
        <w:gridCol w:w="7092"/>
      </w:tblGrid>
      <w:tr>
        <w:trPr>
          <w:tblHeader w:val="true"/>
        </w:trPr>
        <w:tc>
          <w:tcPr>
            <w:tcW w:type="dxa" w:w="3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Trace</w:t>
            </w:r>
          </w:p>
        </w:tc>
        <w:tc>
          <w:tcPr>
            <w:tcW w:type="dxa" w:w="70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À consigner</w:t>
            </w:r>
          </w:p>
        </w:tc>
      </w:tr>
      <w:tr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Source et affirmation</w:t>
            </w:r>
          </w:p>
        </w:tc>
        <w:tc>
          <w:tcPr>
            <w:tcW w:type="dxa" w:w="7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Arrêté du 22 juillet 2020 — articles 1 et 2</w:t>
            </w:r>
          </w:p>
        </w:tc>
      </w:tr>
      <w:tr>
        <w:tc>
          <w:tcPr>
            <w:tcW w:type="dxa" w:w="3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Localisation</w:t>
            </w:r>
          </w:p>
        </w:tc>
        <w:tc>
          <w:tcPr>
            <w:tcW w:type="dxa" w:w="7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Articles 1 et 2</w:t>
            </w:r>
          </w:p>
        </w:tc>
      </w:tr>
      <w:tr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Statut</w:t>
            </w:r>
          </w:p>
        </w:tc>
        <w:tc>
          <w:tcPr>
            <w:tcW w:type="dxa" w:w="7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Source publique vérifiée</w:t>
            </w:r>
          </w:p>
        </w:tc>
      </w:tr>
      <w:tr>
        <w:tc>
          <w:tcPr>
            <w:tcW w:type="dxa" w:w="3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Champ</w:t>
            </w:r>
          </w:p>
        </w:tc>
        <w:tc>
          <w:tcPr>
            <w:tcW w:type="dxa" w:w="7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Études géotechniques dans le champ réglementaire cité</w:t>
            </w:r>
          </w:p>
        </w:tc>
      </w:tr>
      <w:tr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Limite</w:t>
            </w:r>
          </w:p>
        </w:tc>
        <w:tc>
          <w:tcPr>
            <w:tcW w:type="dxa" w:w="7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Ne constitue pas un référentiel général de diagnostic de toutes les fissures</w:t>
            </w:r>
          </w:p>
        </w:tc>
      </w:tr>
      <w:tr>
        <w:tc>
          <w:tcPr>
            <w:tcW w:type="dxa" w:w="3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Usage</w:t>
            </w:r>
          </w:p>
        </w:tc>
        <w:tc>
          <w:tcPr>
            <w:tcW w:type="dxa" w:w="7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Appliquer la source uniquement dans le champ décrit</w:t>
            </w:r>
          </w:p>
        </w:tc>
      </w:tr>
    </w:tbl>
    <w:p>
      <w:pPr>
        <w:spacing w:after="40"/>
      </w:pPr>
    </w:p>
    <w:p>
      <w:pPr>
        <w:spacing w:before="80" w:after="80"/>
      </w:pPr>
      <w:r>
        <w:rPr>
          <w:rFonts w:ascii="Calibri" w:hAnsi="Calibri"/>
          <w:b w:val="0"/>
          <w:i/>
          <w:color w:val="4E5F69"/>
          <w:sz w:val="17"/>
        </w:rPr>
        <w:t>Source : Légifrance — arrêté du 22 juillet 2020, NOR LOGL2019476A, articles 1 et 2.</w:t>
      </w:r>
    </w:p>
    <w:p>
      <w:pPr>
        <w:pStyle w:val="Heading1"/>
      </w:pPr>
      <w:r>
        <w:t>8. Construire un relevé traçable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repère pédagogique, date et conditions d’observation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zone, support et manifestation observable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repère ou méthode de comparaison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évolution documentée ou absence de suivi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pièces disponibles et informations manquantes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limites du constat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orientation, motif et destinataire fonctionnel.</w:t>
      </w:r>
    </w:p>
    <w:p>
      <w:pPr>
        <w:spacing w:before="80" w:after="160" w:line="276" w:lineRule="auto"/>
        <w:ind w:left="160" w:right="160"/>
        <w:shd w:fill="F8E7E5"/>
        <w:pBdr>
          <w:left w:val="single" w:sz="18" w:space="6" w:color="732F2F"/>
        </w:pBdr>
      </w:pPr>
      <w:r>
        <w:rPr>
          <w:rFonts w:ascii="Calibri" w:hAnsi="Calibri"/>
          <w:b/>
          <w:color w:val="732F2F"/>
          <w:sz w:val="21"/>
        </w:rPr>
        <w:t xml:space="preserve">Sans seuil inventé — </w:t>
      </w:r>
      <w:r>
        <w:rPr>
          <w:rFonts w:ascii="Calibri" w:hAnsi="Calibri"/>
          <w:b w:val="0"/>
          <w:color w:val="1D2A33"/>
          <w:sz w:val="21"/>
        </w:rPr>
        <w:t>Le cours ne fournit aucun seuil chiffré universel de gravité ou d’urgence. Toute précision doit être reliée à une source officielle et à un champ établi.</w:t>
      </w:r>
    </w:p>
    <w:p>
      <w:r>
        <w:br w:type="page"/>
      </w:r>
    </w:p>
    <w:p>
      <w:pPr>
        <w:pStyle w:val="Heading1"/>
      </w:pPr>
      <w:r>
        <w:t>9. Transmettre avec prudence</w:t>
      </w: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Modèle — </w:t>
      </w:r>
      <w:r>
        <w:rPr>
          <w:rFonts w:ascii="Calibri" w:hAnsi="Calibri"/>
          <w:b w:val="0"/>
          <w:color w:val="1D2A33"/>
          <w:sz w:val="21"/>
        </w:rPr>
        <w:t>Le scénario décrit [manifestation] dans [zone généralisée] et mentionne [évolution]. Les éléments disponibles ne documentent pas [information manquante]. Ils permettent d’examiner [hypothèse conditionnelle] sans établir la cause. Il est proposé de [suite proportionnée] afin de répondre à [question]. Cette orientation reste limitée au rôle de [public choisi].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Ce modèle est une création pédagogique IEB. Son adaptation à une situation réelle et à une mission contractuelle doit être contrôlée.</w:t>
      </w:r>
    </w:p>
    <w:p>
      <w:pPr>
        <w:pStyle w:val="Heading1"/>
      </w:pPr>
      <w:r>
        <w:t>10. Limites des sept publics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400"/>
        <w:gridCol w:w="4200"/>
        <w:gridCol w:w="3492"/>
      </w:tblGrid>
      <w:tr>
        <w:trPr>
          <w:tblHeader w:val="true"/>
        </w:trPr>
        <w:tc>
          <w:tcPr>
            <w:tcW w:type="dxa" w:w="24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Public</w:t>
            </w:r>
          </w:p>
        </w:tc>
        <w:tc>
          <w:tcPr>
            <w:tcW w:type="dxa" w:w="4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Peut documenter dans l’exercice</w:t>
            </w:r>
          </w:p>
        </w:tc>
        <w:tc>
          <w:tcPr>
            <w:tcW w:type="dxa" w:w="34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Doit faire intervenir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Entrepreneur BTP</w:t>
            </w:r>
          </w:p>
        </w:tc>
        <w:tc>
          <w:tcPr>
            <w:tcW w:type="dxa" w:w="4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Constats, conditions et limites</w:t>
            </w:r>
          </w:p>
        </w:tc>
        <w:tc>
          <w:tcPr>
            <w:tcW w:type="dxa" w:w="3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Spécialiste si cause, sécurité ou prescription dépassent le rôle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Conducteur de travaux</w:t>
            </w:r>
          </w:p>
        </w:tc>
        <w:tc>
          <w:tcPr>
            <w:tcW w:type="dxa" w:w="4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Écarts, chronologie et transmissions</w:t>
            </w:r>
          </w:p>
        </w:tc>
        <w:tc>
          <w:tcPr>
            <w:tcW w:type="dxa" w:w="34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Responsable ou spécialiste si l’analyse sort de la mission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Architecte</w:t>
            </w:r>
          </w:p>
        </w:tc>
        <w:tc>
          <w:tcPr>
            <w:tcW w:type="dxa" w:w="4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Interfaces, hypothèses et données d’étude absentes</w:t>
            </w:r>
          </w:p>
        </w:tc>
        <w:tc>
          <w:tcPr>
            <w:tcW w:type="dxa" w:w="3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Spécialiste pour étude structurelle ou géotechnique adaptée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Expert en bâtiment</w:t>
            </w:r>
          </w:p>
        </w:tc>
        <w:tc>
          <w:tcPr>
            <w:tcW w:type="dxa" w:w="4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Faits, preuves, contradictions et confiance</w:t>
            </w:r>
          </w:p>
        </w:tc>
        <w:tc>
          <w:tcPr>
            <w:tcW w:type="dxa" w:w="34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Autre spécialiste lorsque la matière nécessaire sort du champ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Agent immobilier</w:t>
            </w:r>
          </w:p>
        </w:tc>
        <w:tc>
          <w:tcPr>
            <w:tcW w:type="dxa" w:w="4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Signalement, pièces et formulation prudente</w:t>
            </w:r>
          </w:p>
        </w:tc>
        <w:tc>
          <w:tcPr>
            <w:tcW w:type="dxa" w:w="3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Technicien ou juriste pour conclusion hors rôle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Gestionnaire de patrimoine</w:t>
            </w:r>
          </w:p>
        </w:tc>
        <w:tc>
          <w:tcPr>
            <w:tcW w:type="dxa" w:w="4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Suivi, chronologie et pièces manquantes</w:t>
            </w:r>
          </w:p>
        </w:tc>
        <w:tc>
          <w:tcPr>
            <w:tcW w:type="dxa" w:w="34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Spécialiste pour diagnostic ou prescription hors mandat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Syndic</w:t>
            </w:r>
          </w:p>
        </w:tc>
        <w:tc>
          <w:tcPr>
            <w:tcW w:type="dxa" w:w="4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Chronologie, échanges et limites</w:t>
            </w:r>
          </w:p>
        </w:tc>
        <w:tc>
          <w:tcPr>
            <w:tcW w:type="dxa" w:w="3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Spécialiste ou décideur compétent si diagnostic ou prescription requis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FEAE5"/>
        <w:pBdr>
          <w:left w:val="single" w:sz="18" w:space="6" w:color="574E48"/>
        </w:pBdr>
      </w:pPr>
      <w:r>
        <w:rPr>
          <w:rFonts w:ascii="Calibri" w:hAnsi="Calibri"/>
          <w:b/>
          <w:color w:val="574E48"/>
          <w:sz w:val="21"/>
        </w:rPr>
        <w:t xml:space="preserve">Limite métier — </w:t>
      </w:r>
      <w:r>
        <w:rPr>
          <w:rFonts w:ascii="Calibri" w:hAnsi="Calibri"/>
          <w:b w:val="0"/>
          <w:color w:val="1D2A33"/>
          <w:sz w:val="21"/>
        </w:rPr>
        <w:t>Ce tableau s’applique au scénario pédagogique. Il ne définit pas de manière générale les prérogatives juridiques d’une profession.</w:t>
      </w:r>
    </w:p>
    <w:p>
      <w:r>
        <w:br w:type="page"/>
      </w:r>
    </w:p>
    <w:p>
      <w:pPr>
        <w:pStyle w:val="Heading1"/>
      </w:pPr>
      <w:r>
        <w:t>11. Cas synthétique P-02</w:t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  <w:t>Plusieurs fissures obliques suivent localement les joints d’une maçonnerie. Une évolution a été perçue au fil de plusieurs saisons. La géométrie, la profondeur, l’état des fondations et le sol d’assise ne sont pas documentés.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1800"/>
        <w:gridCol w:w="5000"/>
        <w:gridCol w:w="3292"/>
      </w:tblGrid>
      <w:tr>
        <w:trPr>
          <w:tblHeader w:val="true"/>
        </w:trPr>
        <w:tc>
          <w:tcPr>
            <w:tcW w:type="dxa" w:w="18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Catégorie</w:t>
            </w:r>
          </w:p>
        </w:tc>
        <w:tc>
          <w:tcPr>
            <w:tcW w:type="dxa" w:w="5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Contenu du scénario</w:t>
            </w:r>
          </w:p>
        </w:tc>
        <w:tc>
          <w:tcPr>
            <w:tcW w:type="dxa" w:w="32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Limite</w:t>
            </w:r>
          </w:p>
        </w:tc>
      </w:tr>
      <w:t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Faits</w:t>
            </w:r>
          </w:p>
        </w:tc>
        <w:tc>
          <w:tcPr>
            <w:tcW w:type="dxa" w:w="5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Forme décrite ; évolution rapportée ; informations de fondations absentes</w:t>
            </w:r>
          </w:p>
        </w:tc>
        <w:tc>
          <w:tcPr>
            <w:tcW w:type="dxa" w:w="3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Aucune photographie réelle ni mesure instrumentée</w:t>
            </w:r>
          </w:p>
        </w:tc>
      </w:tr>
      <w:tr>
        <w:tc>
          <w:tcPr>
            <w:tcW w:type="dxa" w:w="18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Preuves</w:t>
            </w:r>
          </w:p>
        </w:tc>
        <w:tc>
          <w:tcPr>
            <w:tcW w:type="dxa" w:w="5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Fiche fictive, chronologie fictive, grille de complétude</w:t>
            </w:r>
          </w:p>
        </w:tc>
        <w:tc>
          <w:tcPr>
            <w:tcW w:type="dxa" w:w="32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Fiabilités différentes et bornées</w:t>
            </w:r>
          </w:p>
        </w:tc>
      </w:tr>
      <w:t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Hypothèses</w:t>
            </w:r>
          </w:p>
        </w:tc>
        <w:tc>
          <w:tcPr>
            <w:tcW w:type="dxa" w:w="5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Mouvement différentiel ; mouvement local ou reprise d’enduit</w:t>
            </w:r>
          </w:p>
        </w:tc>
        <w:tc>
          <w:tcPr>
            <w:tcW w:type="dxa" w:w="32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Aucune cause établie</w:t>
            </w:r>
          </w:p>
        </w:tc>
      </w:tr>
      <w:tr>
        <w:tc>
          <w:tcPr>
            <w:tcW w:type="dxa" w:w="18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Manques</w:t>
            </w:r>
          </w:p>
        </w:tc>
        <w:tc>
          <w:tcPr>
            <w:tcW w:type="dxa" w:w="5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Sol, fondations, suivi, supports, historique, causes locales</w:t>
            </w:r>
          </w:p>
        </w:tc>
        <w:tc>
          <w:tcPr>
            <w:tcW w:type="dxa" w:w="32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À relier à une question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F6EBDD"/>
        <w:pBdr>
          <w:left w:val="single" w:sz="18" w:space="6" w:color="75491F"/>
        </w:pBdr>
      </w:pPr>
      <w:r>
        <w:rPr>
          <w:rFonts w:ascii="Calibri" w:hAnsi="Calibri"/>
          <w:b/>
          <w:color w:val="75491F"/>
          <w:sz w:val="21"/>
        </w:rPr>
        <w:t xml:space="preserve">Cas synthétique — </w:t>
      </w:r>
      <w:r>
        <w:rPr>
          <w:rFonts w:ascii="Calibri" w:hAnsi="Calibri"/>
          <w:b w:val="0"/>
          <w:color w:val="1D2A33"/>
          <w:sz w:val="21"/>
        </w:rPr>
        <w:t>Aucune personne, adresse, mission, photographie ou donnée réelle n’est utilisée.</w:t>
      </w:r>
    </w:p>
    <w:p>
      <w:pPr>
        <w:pStyle w:val="Heading1"/>
      </w:pPr>
      <w:r>
        <w:t>12. Critères d’une production réussie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les faits et les hypothèses ne sont pas confondus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aucune donnée absente n’est inventée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au moins deux hypothèses restent ouvertes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chaque investigation répond à une question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l’orientation indique son motif, son degré de certitude et la limite du rôle ;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aucune précision normative non vérifiée n’est présentée comme obligatoire.</w:t>
      </w: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Remédiation — </w:t>
      </w:r>
      <w:r>
        <w:rPr>
          <w:rFonts w:ascii="Calibri" w:hAnsi="Calibri"/>
          <w:b w:val="0"/>
          <w:color w:val="1D2A33"/>
          <w:sz w:val="21"/>
        </w:rPr>
        <w:t>Revenir à trois colonnes : Disponible • Manquant • À éprouver.</w:t>
      </w:r>
    </w:p>
    <w:p>
      <w:r>
        <w:br w:type="page"/>
      </w:r>
    </w:p>
    <w:p>
      <w:pPr>
        <w:pStyle w:val="Heading1"/>
      </w:pPr>
      <w:r>
        <w:t>13. Six verbes pour le transfert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200"/>
        <w:gridCol w:w="7892"/>
      </w:tblGrid>
      <w:tr>
        <w:trPr>
          <w:tblHeader w:val="true"/>
        </w:trPr>
        <w:tc>
          <w:tcPr>
            <w:tcW w:type="dxa" w:w="2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Verbe</w:t>
            </w:r>
          </w:p>
        </w:tc>
        <w:tc>
          <w:tcPr>
            <w:tcW w:type="dxa" w:w="78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Pratique</w:t>
            </w:r>
          </w:p>
        </w:tc>
      </w:tr>
      <w:tr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Observer</w:t>
            </w:r>
          </w:p>
        </w:tc>
        <w:tc>
          <w:tcPr>
            <w:tcW w:type="dxa" w:w="78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Ne pas compléter ce qui manque</w:t>
            </w:r>
          </w:p>
        </w:tc>
      </w:tr>
      <w:tr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Décrire</w:t>
            </w:r>
          </w:p>
        </w:tc>
        <w:tc>
          <w:tcPr>
            <w:tcW w:type="dxa" w:w="78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Utiliser des termes compréhensibles et traçables</w:t>
            </w:r>
          </w:p>
        </w:tc>
      </w:tr>
      <w:tr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Classer</w:t>
            </w:r>
          </w:p>
        </w:tc>
        <w:tc>
          <w:tcPr>
            <w:tcW w:type="dxa" w:w="78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Séparer faits, preuves, hypothèses et limites</w:t>
            </w:r>
          </w:p>
        </w:tc>
      </w:tr>
      <w:tr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Documenter</w:t>
            </w:r>
          </w:p>
        </w:tc>
        <w:tc>
          <w:tcPr>
            <w:tcW w:type="dxa" w:w="78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Écrire les lacunes et les questions</w:t>
            </w:r>
          </w:p>
        </w:tc>
      </w:tr>
      <w:tr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Orienter</w:t>
            </w:r>
          </w:p>
        </w:tc>
        <w:tc>
          <w:tcPr>
            <w:tcW w:type="dxa" w:w="78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Agir selon le rôle et le degré de certitude</w:t>
            </w:r>
          </w:p>
        </w:tc>
      </w:tr>
      <w:tr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Transmettre</w:t>
            </w:r>
          </w:p>
        </w:tc>
        <w:tc>
          <w:tcPr>
            <w:tcW w:type="dxa" w:w="78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Ne pas transformer une hypothèse en diagnostic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Repère final — </w:t>
      </w:r>
      <w:r>
        <w:rPr>
          <w:rFonts w:ascii="Calibri" w:hAnsi="Calibri"/>
          <w:b w:val="0"/>
          <w:color w:val="1D2A33"/>
          <w:sz w:val="21"/>
        </w:rPr>
        <w:t>Une forme observée décrit un désordre ; sa cause se construit par confrontation des indices, du contexte et des investigations.</w:t>
      </w:r>
    </w:p>
    <w:p>
      <w:pPr>
        <w:pStyle w:val="Heading1"/>
      </w:pPr>
      <w:r>
        <w:t>Sources principales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800"/>
        <w:gridCol w:w="3000"/>
        <w:gridCol w:w="2200"/>
        <w:gridCol w:w="2092"/>
      </w:tblGrid>
      <w:tr>
        <w:trPr>
          <w:tblHeader w:val="true"/>
        </w:trPr>
        <w:tc>
          <w:tcPr>
            <w:tcW w:type="dxa" w:w="28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Source / affirmation</w:t>
            </w:r>
          </w:p>
        </w:tc>
        <w:tc>
          <w:tcPr>
            <w:tcW w:type="dxa" w:w="3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Usage</w:t>
            </w:r>
          </w:p>
        </w:tc>
        <w:tc>
          <w:tcPr>
            <w:tcW w:type="dxa" w:w="2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Portée</w:t>
            </w:r>
          </w:p>
        </w:tc>
        <w:tc>
          <w:tcPr>
            <w:tcW w:type="dxa" w:w="20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Localisation</w:t>
            </w:r>
          </w:p>
        </w:tc>
      </w:tr>
      <w:tr>
        <w:tc>
          <w:tcPr>
            <w:tcW w:type="dxa" w:w="2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Arrêté du 22 juillet 2020 — articles 1 et 2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Rôle borné des études géotechniques citées</w:t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Champ des articles cités</w:t>
            </w:r>
          </w:p>
        </w:tc>
        <w:tc>
          <w:tcPr>
            <w:tcW w:type="dxa" w:w="2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Articles 1 et 2</w:t>
            </w:r>
          </w:p>
        </w:tc>
      </w:tr>
      <w:tr>
        <w:tc>
          <w:tcPr>
            <w:tcW w:type="dxa" w:w="28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BRGM RR-40414-FR — page 13</w:t>
            </w:r>
          </w:p>
        </w:tc>
        <w:tc>
          <w:tcPr>
            <w:tcW w:type="dxa" w:w="3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Diagnostic différentiel</w:t>
            </w:r>
          </w:p>
        </w:tc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Source publique BRGM</w:t>
            </w:r>
          </w:p>
        </w:tc>
        <w:tc>
          <w:tcPr>
            <w:tcW w:type="dxa" w:w="2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RR-40414-FR, page 13</w:t>
            </w:r>
          </w:p>
        </w:tc>
      </w:tr>
      <w:tr>
        <w:tc>
          <w:tcPr>
            <w:tcW w:type="dxa" w:w="2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Cas pédagogique synthétique IEB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Faits et hypothèses du cas synthétique</w:t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Limité au scénario</w:t>
            </w:r>
          </w:p>
        </w:tc>
        <w:tc>
          <w:tcPr>
            <w:tcW w:type="dxa" w:w="2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t>Scénario pédagogique du cours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  <w:pBdr>
        <w:top w:val="single" w:sz="5" w:space="4" w:color="E8DDD0"/>
      </w:pBdr>
    </w:pPr>
    <w:r>
      <w:rPr>
        <w:rFonts w:ascii="Calibri" w:hAnsi="Calibri"/>
        <w:b w:val="0"/>
        <w:color w:val="4E5F69"/>
        <w:sz w:val="16"/>
      </w:rPr>
      <w:t xml:space="preserve">Formation P-02 • page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0" w:space="4" w:color="B8663B"/>
      </w:pBdr>
    </w:pPr>
    <w:r>
      <w:rPr>
        <w:rFonts w:ascii="Calibri" w:hAnsi="Calibri"/>
        <w:b/>
        <w:color w:val="1D2A33"/>
        <w:sz w:val="19"/>
      </w:rPr>
      <w:t>IEB</w:t>
    </w:r>
    <w:r>
      <w:rPr>
        <w:rFonts w:ascii="Calibri" w:hAnsi="Calibri"/>
        <w:b/>
        <w:color w:val="4E5F69"/>
        <w:sz w:val="15"/>
      </w:rPr>
      <w:t xml:space="preserve">   INSTITUT DE L’EXPERTISE EN BÂTIMENT   •   P-02   •   SUPPORT APPRENANT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D2A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66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66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D2A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apprenant L06</dc:title>
  <dc:subject>Compilation L06 du cours maître P-02</dc:subject>
  <dc:creator>python-docx</dc:creator>
  <cp:keywords>IEB, P-02, L06, formation, expertise de terrain</cp:keywords>
  <dc:description>Cours maître canonique : L05 0.2.0. Profil H01 terrain premium 1.0.0.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