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</w:pPr>
      <w:r>
        <w:rPr>
          <w:rFonts w:ascii="Arial" w:hAnsi="Arial"/>
          <w:b/>
          <w:i w:val="0"/>
          <w:color w:val="994A28"/>
          <w:sz w:val="18"/>
        </w:rPr>
        <w:t>P-05  |  PARCOURS OPÉRATIONNEL</w:t>
      </w:r>
    </w:p>
    <w:p>
      <w:pPr>
        <w:pStyle w:val="Title"/>
      </w:pPr>
      <w:r>
        <w:rPr>
          <w:rFonts w:ascii="Arial" w:hAnsi="Arial"/>
          <w:b/>
          <w:i w:val="0"/>
          <w:color w:val="243746"/>
          <w:sz w:val="52"/>
        </w:rPr>
        <w:t>SUPPORT APPRENANT</w:t>
      </w:r>
    </w:p>
    <w:p>
      <w:pPr>
        <w:spacing w:after="240"/>
      </w:pPr>
      <w:r>
        <w:rPr>
          <w:rFonts w:ascii="Arial" w:hAnsi="Arial"/>
          <w:b/>
          <w:i w:val="0"/>
          <w:color w:val="637565"/>
          <w:sz w:val="26"/>
        </w:rPr>
        <w:t>Diagnostic expert et rédaction de rapports</w:t>
      </w: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EAF0F3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994A28"/>
                <w:sz w:val="21"/>
              </w:rPr>
              <w:t xml:space="preserve">Format — </w:t>
            </w:r>
            <w:r>
              <w:rPr>
                <w:rFonts w:ascii="Arial" w:hAnsi="Arial"/>
                <w:b w:val="0"/>
                <w:i w:val="0"/>
                <w:color w:val="20282D"/>
                <w:sz w:val="21"/>
              </w:rPr>
              <w:t>420 minutes obligatoires | 6 leçons | 13 sujets | dossier fictif fil rouge</w:t>
            </w:r>
          </w:p>
        </w:tc>
      </w:tr>
    </w:tbl>
    <w:p>
      <w:pPr>
        <w:spacing w:after="20"/>
      </w:pPr>
    </w:p>
    <w:p>
      <w:pPr>
        <w:spacing w:after="60"/>
        <w:jc w:val="center"/>
      </w:pPr>
      <w:r>
        <w:drawing>
          <wp:inline xmlns:a="http://schemas.openxmlformats.org/drawingml/2006/main" xmlns:pic="http://schemas.openxmlformats.org/drawingml/2006/picture">
            <wp:extent cx="5544000" cy="3696000"/>
            <wp:docPr id="1" name="Picture 1" descr="Illustration originale IEB du parcours P-05 ; la Maison des Tilleuls et ses pièces sont entièrement fictives." title="Illustration originale IEB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eb-asset-p05-000001__ligne-portee-rapport__v0.1.0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44000" cy="3696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rFonts w:ascii="Arial" w:hAnsi="Arial"/>
          <w:b w:val="0"/>
          <w:i/>
          <w:color w:val="5D686E"/>
          <w:sz w:val="17"/>
        </w:rPr>
        <w:t>Illustration originale IEB du parcours P-05 ; la Maison des Tilleuls et ses pièces sont entièrement fictives.</w:t>
      </w:r>
    </w:p>
    <w:p>
      <w:pPr>
        <w:spacing w:before="40"/>
      </w:pPr>
      <w:r>
        <w:rPr>
          <w:rFonts w:ascii="Arial" w:hAnsi="Arial"/>
          <w:b w:val="0"/>
          <w:i/>
          <w:color w:val="20282D"/>
          <w:sz w:val="22"/>
        </w:rPr>
        <w:t>Transformer une mission technique et un dossier hétérogène en un rapport contrôlable, borné et utile à la décision.</w:t>
      </w:r>
    </w:p>
    <w:p>
      <w:r>
        <w:br w:type="page"/>
      </w:r>
    </w:p>
    <w:p>
      <w:pPr>
        <w:pStyle w:val="Heading1"/>
      </w:pPr>
      <w:r>
        <w:t>1 - La mission est la première pièce</w:t>
      </w:r>
    </w:p>
    <w:p>
      <w:r>
        <w:rPr>
          <w:rFonts w:ascii="Arial" w:hAnsi="Arial"/>
          <w:b w:val="0"/>
          <w:i w:val="0"/>
          <w:color w:val="20282D"/>
          <w:sz w:val="21"/>
        </w:rPr>
        <w:t>Avant toute analyse, transformez la demande en question technique, destinataire, périmètre, moyens, limites et sortie attendue.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Identifier le document qui fonde la mission.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Distinguer une mission contractuelle d'une mission confiée par un juge.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Refuser l'exhaustivité implicite et les appréciations juridiques.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Faire expliciter une difficulté au lieu de corriger silencieusement la mission.</w:t>
      </w: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EEF1EF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994A28"/>
                <w:sz w:val="21"/>
              </w:rPr>
              <w:t xml:space="preserve">Ligne de portée — </w:t>
            </w:r>
            <w:r>
              <w:rPr>
                <w:rFonts w:ascii="Arial" w:hAnsi="Arial"/>
                <w:b w:val="0"/>
                <w:i w:val="0"/>
                <w:color w:val="20282D"/>
                <w:sz w:val="21"/>
              </w:rPr>
              <w:t>Ce que la mission demande, ce que les preuves permettent et ce qui demeure hors champ doivent rester visibles jusqu'à la conclusion.</w:t>
            </w:r>
          </w:p>
        </w:tc>
      </w:tr>
    </w:tbl>
    <w:p>
      <w:pPr>
        <w:spacing w:after="20"/>
      </w:pPr>
    </w:p>
    <w:p>
      <w:pPr>
        <w:pStyle w:val="Heading2"/>
      </w:pPr>
      <w:r>
        <w:t>Trace attendue</w:t>
      </w:r>
    </w:p>
    <w:p>
      <w:r>
        <w:rPr>
          <w:rFonts w:ascii="Arial" w:hAnsi="Arial"/>
          <w:b w:val="0"/>
          <w:i w:val="0"/>
          <w:color w:val="20282D"/>
          <w:sz w:val="21"/>
        </w:rPr>
        <w:t>Une fiche de cadrage contenant origine, objet, question, destinataire, moyens, limites et livrable.</w:t>
      </w:r>
    </w:p>
    <w:p>
      <w:pPr>
        <w:spacing w:before="100" w:after="40"/>
      </w:pPr>
      <w:r>
        <w:rPr>
          <w:rFonts w:ascii="Arial" w:hAnsi="Arial"/>
          <w:b w:val="0"/>
          <w:i/>
          <w:color w:val="5D686E"/>
          <w:sz w:val="16"/>
        </w:rPr>
        <w:t>Repère documentaire : Code de procédure civile, articles 232, 237, 238 et 279, dans le seul champ judiciaire.</w:t>
      </w:r>
    </w:p>
    <w:p>
      <w:r>
        <w:br w:type="page"/>
      </w:r>
    </w:p>
    <w:p>
      <w:pPr>
        <w:pStyle w:val="Heading1"/>
      </w:pPr>
      <w:r>
        <w:t>2 - Le contrat de réponse</w:t>
      </w:r>
    </w:p>
    <w:p>
      <w:r>
        <w:rPr>
          <w:rFonts w:ascii="Arial" w:hAnsi="Arial"/>
          <w:b w:val="0"/>
          <w:i w:val="0"/>
          <w:color w:val="20282D"/>
          <w:sz w:val="21"/>
        </w:rPr>
        <w:t>Chaque point de mission devient une ligne reliant question, preuves attendues, méthode, limite prévisible et forme de réponse.</w:t>
      </w:r>
    </w:p>
    <w:p>
      <w:pPr>
        <w:spacing w:after="60"/>
        <w:jc w:val="center"/>
      </w:pPr>
      <w:r>
        <w:drawing>
          <wp:inline xmlns:a="http://schemas.openxmlformats.org/drawingml/2006/main" xmlns:pic="http://schemas.openxmlformats.org/drawingml/2006/picture">
            <wp:extent cx="4464000" cy="2976000"/>
            <wp:docPr id="2" name="Picture 2" descr="Planche pédagogique originale IEB ; aucune personne, adresse, entreprise ou affaire réelle n'est représentée." title="Illustration originale IEB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eb-asset-p05-000001__ligne-portee-rapport__v0.1.0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464000" cy="2976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rFonts w:ascii="Arial" w:hAnsi="Arial"/>
          <w:b w:val="0"/>
          <w:i/>
          <w:color w:val="5D686E"/>
          <w:sz w:val="17"/>
        </w:rPr>
        <w:t>Planche pédagogique originale IEB ; aucune personne, adresse, entreprise ou affaire réelle n'est représentée.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Une question technique par ligne.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Une preuve ne vaut que pour une portée nommée.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La méthode doit produire une réponse ou une limite explicite.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La colonne réponse finale n'est complétée qu'après l'analyse.</w:t>
      </w: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EEF1EF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994A28"/>
                <w:sz w:val="21"/>
              </w:rPr>
              <w:t xml:space="preserve">Contrôle — </w:t>
            </w:r>
            <w:r>
              <w:rPr>
                <w:rFonts w:ascii="Arial" w:hAnsi="Arial"/>
                <w:b w:val="0"/>
                <w:i w:val="0"/>
                <w:color w:val="20282D"/>
                <w:sz w:val="21"/>
              </w:rPr>
              <w:t>Si une conclusion ne retrouve aucun point de mission, elle est hors trajectoire ou le cadrage est incomplet.</w:t>
            </w:r>
          </w:p>
        </w:tc>
      </w:tr>
    </w:tbl>
    <w:p>
      <w:pPr>
        <w:spacing w:after="20"/>
      </w:pPr>
    </w:p>
    <w:p>
      <w:pPr>
        <w:pStyle w:val="Heading2"/>
      </w:pPr>
      <w:r>
        <w:t>Trace attendue</w:t>
      </w:r>
    </w:p>
    <w:p>
      <w:r>
        <w:rPr>
          <w:rFonts w:ascii="Arial" w:hAnsi="Arial"/>
          <w:b w:val="0"/>
          <w:i w:val="0"/>
          <w:color w:val="20282D"/>
          <w:sz w:val="21"/>
        </w:rPr>
        <w:t>Un contrat de réponse versionné et relié au sommaire du rapport.</w:t>
      </w:r>
    </w:p>
    <w:p>
      <w:pPr>
        <w:spacing w:before="100" w:after="40"/>
      </w:pPr>
      <w:r>
        <w:rPr>
          <w:rFonts w:ascii="Arial" w:hAnsi="Arial"/>
          <w:b w:val="0"/>
          <w:i/>
          <w:color w:val="5D686E"/>
          <w:sz w:val="16"/>
        </w:rPr>
        <w:t>Repère documentaire : Méthode IEB ; Code de procédure civile, article 238, pour la mission judiciaire.</w:t>
      </w:r>
    </w:p>
    <w:p>
      <w:r>
        <w:br w:type="page"/>
      </w:r>
    </w:p>
    <w:p>
      <w:pPr>
        <w:pStyle w:val="Heading1"/>
      </w:pPr>
      <w:r>
        <w:t>3 - Le bordereau parlant</w:t>
      </w:r>
    </w:p>
    <w:p>
      <w:r>
        <w:rPr>
          <w:rFonts w:ascii="Arial" w:hAnsi="Arial"/>
          <w:b w:val="0"/>
          <w:i w:val="0"/>
          <w:color w:val="20282D"/>
          <w:sz w:val="21"/>
        </w:rPr>
        <w:t>Une pièce est exploitable lorsque sa provenance, son auteur annoncé, sa date, sa version, sa réception, sa portée et sa limite sont visibles.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Distinguer source de remise et auteur de la pièce.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Conserver les indices de version et les doublons.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Ne pas confondre désignation facturée et exécution observée.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Limiter les données personnelles à ce qui est nécessaire.</w:t>
      </w: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EEF1EF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994A28"/>
                <w:sz w:val="21"/>
              </w:rPr>
              <w:t xml:space="preserve">Bordereau parlant — </w:t>
            </w:r>
            <w:r>
              <w:rPr>
                <w:rFonts w:ascii="Arial" w:hAnsi="Arial"/>
                <w:b w:val="0"/>
                <w:i w:val="0"/>
                <w:color w:val="20282D"/>
                <w:sz w:val="21"/>
              </w:rPr>
              <w:t>Un nom de fichier n'est ni une date fiable, ni une preuve d'authenticité, ni une version maîtrisée.</w:t>
            </w:r>
          </w:p>
        </w:tc>
      </w:tr>
    </w:tbl>
    <w:p>
      <w:pPr>
        <w:spacing w:after="20"/>
      </w:pPr>
    </w:p>
    <w:p>
      <w:pPr>
        <w:pStyle w:val="Heading2"/>
      </w:pPr>
      <w:r>
        <w:t>Trace attendue</w:t>
      </w:r>
    </w:p>
    <w:p>
      <w:r>
        <w:rPr>
          <w:rFonts w:ascii="Arial" w:hAnsi="Arial"/>
          <w:b w:val="0"/>
          <w:i w:val="0"/>
          <w:color w:val="20282D"/>
          <w:sz w:val="21"/>
        </w:rPr>
        <w:t>Une ligne de bordereau qui permet de retrouver la pièce et de comprendre son usage exact.</w:t>
      </w:r>
    </w:p>
    <w:p>
      <w:pPr>
        <w:spacing w:before="100" w:after="40"/>
      </w:pPr>
      <w:r>
        <w:rPr>
          <w:rFonts w:ascii="Arial" w:hAnsi="Arial"/>
          <w:b w:val="0"/>
          <w:i/>
          <w:color w:val="5D686E"/>
          <w:sz w:val="16"/>
        </w:rPr>
        <w:t>Repère documentaire : Code de procédure civile, article 275 ; CNIL, principe de minimisation.</w:t>
      </w:r>
    </w:p>
    <w:p>
      <w:r>
        <w:br w:type="page"/>
      </w:r>
    </w:p>
    <w:p>
      <w:pPr>
        <w:pStyle w:val="Heading1"/>
      </w:pPr>
      <w:r>
        <w:t>4 - Décrire l'opération</w:t>
      </w:r>
    </w:p>
    <w:p>
      <w:r>
        <w:rPr>
          <w:rFonts w:ascii="Arial" w:hAnsi="Arial"/>
          <w:b w:val="0"/>
          <w:i w:val="0"/>
          <w:color w:val="20282D"/>
          <w:sz w:val="21"/>
        </w:rPr>
        <w:t>Un constat ou une mesure doit pouvoir être reconstruit : où, quand, par qui, avec quoi, sur quoi et avec quelle limite.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Localiser la zone dans l'ouvrage avant le gros plan.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Associer méthode, instrument, unité et conditions à toute valeur.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Attribuer chaque déclaration à sa source.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Nommer les zones non visibles et les modifications de la scène.</w:t>
      </w: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EEF1EF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994A28"/>
                <w:sz w:val="21"/>
              </w:rPr>
              <w:t xml:space="preserve">Phrase contrôlable — </w:t>
            </w:r>
            <w:r>
              <w:rPr>
                <w:rFonts w:ascii="Arial" w:hAnsi="Arial"/>
                <w:b w:val="0"/>
                <w:i w:val="0"/>
                <w:color w:val="20282D"/>
                <w:sz w:val="21"/>
              </w:rPr>
              <w:t>Décrivez l'ouverture visible, sa position et la limite d'accès ; ne remplacez pas le constat par 'la fissure travaille'.</w:t>
            </w:r>
          </w:p>
        </w:tc>
      </w:tr>
    </w:tbl>
    <w:p>
      <w:pPr>
        <w:spacing w:after="20"/>
      </w:pPr>
    </w:p>
    <w:p>
      <w:pPr>
        <w:pStyle w:val="Heading2"/>
      </w:pPr>
      <w:r>
        <w:t>Trace attendue</w:t>
      </w:r>
    </w:p>
    <w:p>
      <w:r>
        <w:rPr>
          <w:rFonts w:ascii="Arial" w:hAnsi="Arial"/>
          <w:b w:val="0"/>
          <w:i w:val="0"/>
          <w:color w:val="20282D"/>
          <w:sz w:val="21"/>
        </w:rPr>
        <w:t>Un relevé d'opération daté avec vues d'ensemble, de localisation et de détail.</w:t>
      </w:r>
    </w:p>
    <w:p>
      <w:pPr>
        <w:spacing w:before="100" w:after="40"/>
      </w:pPr>
      <w:r>
        <w:rPr>
          <w:rFonts w:ascii="Arial" w:hAnsi="Arial"/>
          <w:b w:val="0"/>
          <w:i/>
          <w:color w:val="5D686E"/>
          <w:sz w:val="16"/>
        </w:rPr>
        <w:t>Repère documentaire : Code de procédure civile, article 244, dans le champ judiciaire.</w:t>
      </w:r>
    </w:p>
    <w:p>
      <w:r>
        <w:br w:type="page"/>
      </w:r>
    </w:p>
    <w:p>
      <w:pPr>
        <w:pStyle w:val="Heading1"/>
      </w:pPr>
      <w:r>
        <w:t>5 - La chronologie probante</w:t>
      </w:r>
    </w:p>
    <w:p>
      <w:r>
        <w:rPr>
          <w:rFonts w:ascii="Arial" w:hAnsi="Arial"/>
          <w:b w:val="0"/>
          <w:i w:val="0"/>
          <w:color w:val="20282D"/>
          <w:sz w:val="21"/>
        </w:rPr>
        <w:t>Une date reçoit une source, un statut et une limite. La proximité temporelle oriente une question, sans démontrer automatiquement une causalité.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Séparer date portée, date déclarée, date du fichier et date de réception.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Conserver les intervalles sans information.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Comparer des états réellement comparables.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Rechercher aussi les épisodes où l'événement et la manifestation ne coïncident pas.</w:t>
      </w: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EEF1EF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994A28"/>
                <w:sz w:val="21"/>
              </w:rPr>
              <w:t xml:space="preserve">Avant / après la preuve — </w:t>
            </w:r>
            <w:r>
              <w:rPr>
                <w:rFonts w:ascii="Arial" w:hAnsi="Arial"/>
                <w:b w:val="0"/>
                <w:i w:val="0"/>
                <w:color w:val="20282D"/>
                <w:sz w:val="21"/>
              </w:rPr>
              <w:t>Après les travaux ne signifie pas à cause des travaux. La chronologie situe ; le mécanisme reste à instruire.</w:t>
            </w:r>
          </w:p>
        </w:tc>
      </w:tr>
    </w:tbl>
    <w:p>
      <w:pPr>
        <w:spacing w:after="20"/>
      </w:pPr>
    </w:p>
    <w:p>
      <w:pPr>
        <w:pStyle w:val="Heading2"/>
      </w:pPr>
      <w:r>
        <w:t>Trace attendue</w:t>
      </w:r>
    </w:p>
    <w:p>
      <w:r>
        <w:rPr>
          <w:rFonts w:ascii="Arial" w:hAnsi="Arial"/>
          <w:b w:val="0"/>
          <w:i w:val="0"/>
          <w:color w:val="20282D"/>
          <w:sz w:val="21"/>
        </w:rPr>
        <w:t>Une frise où chaque ligne indique source, statut, portée et manque.</w:t>
      </w:r>
    </w:p>
    <w:p>
      <w:pPr>
        <w:spacing w:before="100" w:after="40"/>
      </w:pPr>
      <w:r>
        <w:rPr>
          <w:rFonts w:ascii="Arial" w:hAnsi="Arial"/>
          <w:b w:val="0"/>
          <w:i/>
          <w:color w:val="5D686E"/>
          <w:sz w:val="16"/>
        </w:rPr>
        <w:t>Repère documentaire : Méthode IEB de chronologie qualifiée.</w:t>
      </w:r>
    </w:p>
    <w:p>
      <w:r>
        <w:br w:type="page"/>
      </w:r>
    </w:p>
    <w:p>
      <w:pPr>
        <w:pStyle w:val="Heading1"/>
      </w:pPr>
      <w:r>
        <w:t>6 - Ouvrir les hypothèses</w:t>
      </w:r>
    </w:p>
    <w:p>
      <w:r>
        <w:rPr>
          <w:rFonts w:ascii="Arial" w:hAnsi="Arial"/>
          <w:b w:val="0"/>
          <w:i w:val="0"/>
          <w:color w:val="20282D"/>
          <w:sz w:val="21"/>
        </w:rPr>
        <w:t>Une hypothèse utile décrit un mécanisme et prédit ce qui devrait être observable si elle est pertinente.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Séparer les arbres de la fissure et de l'auréole.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Formuler une alternative réellement distincte.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Associer à chaque hypothèse une attente, une recherche et un élément de rupture.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Défendre loyalement l'explication que vous préférez le moins.</w:t>
      </w: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EEF1EF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994A28"/>
                <w:sz w:val="21"/>
              </w:rPr>
              <w:t xml:space="preserve">Contre-hypothèse loyale — </w:t>
            </w:r>
            <w:r>
              <w:rPr>
                <w:rFonts w:ascii="Arial" w:hAnsi="Arial"/>
                <w:b w:val="0"/>
                <w:i w:val="0"/>
                <w:color w:val="20282D"/>
                <w:sz w:val="21"/>
              </w:rPr>
              <w:t>Une deuxième étiquette ne suffit pas : l'alternative doit expliquer le dossier par une chaîne différente.</w:t>
            </w:r>
          </w:p>
        </w:tc>
      </w:tr>
    </w:tbl>
    <w:p>
      <w:pPr>
        <w:spacing w:after="20"/>
      </w:pPr>
    </w:p>
    <w:p>
      <w:pPr>
        <w:pStyle w:val="Heading2"/>
      </w:pPr>
      <w:r>
        <w:t>Trace attendue</w:t>
      </w:r>
    </w:p>
    <w:p>
      <w:r>
        <w:rPr>
          <w:rFonts w:ascii="Arial" w:hAnsi="Arial"/>
          <w:b w:val="0"/>
          <w:i w:val="0"/>
          <w:color w:val="20282D"/>
          <w:sz w:val="21"/>
        </w:rPr>
        <w:t>Un arbre d'hypothèses avec prédictions observables et critères de fragilisation.</w:t>
      </w:r>
    </w:p>
    <w:p>
      <w:pPr>
        <w:spacing w:before="100" w:after="40"/>
      </w:pPr>
      <w:r>
        <w:rPr>
          <w:rFonts w:ascii="Arial" w:hAnsi="Arial"/>
          <w:b w:val="0"/>
          <w:i/>
          <w:color w:val="5D686E"/>
          <w:sz w:val="16"/>
        </w:rPr>
        <w:t>Repère documentaire : Méthode IEB de raisonnement diagnostique.</w:t>
      </w:r>
    </w:p>
    <w:p>
      <w:r>
        <w:br w:type="page"/>
      </w:r>
    </w:p>
    <w:p>
      <w:pPr>
        <w:pStyle w:val="Heading1"/>
      </w:pPr>
      <w:r>
        <w:t>7 - La matrice preuves-hypothèses</w:t>
      </w:r>
    </w:p>
    <w:p>
      <w:r>
        <w:rPr>
          <w:rFonts w:ascii="Arial" w:hAnsi="Arial"/>
          <w:b w:val="0"/>
          <w:i w:val="0"/>
          <w:color w:val="20282D"/>
          <w:sz w:val="21"/>
        </w:rPr>
        <w:t>Classez chaque élément comme favorable, contradictoire, neutre ou non interprétable, puis justifiez sa portée pour chaque hypothèse.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Favorable ne signifie jamais suffisant.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Une même pièce peut soutenir plusieurs explications.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Deux formats issus du même récit ne sont pas deux sources indépendantes.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Toute contradiction significative doit produire un effet visible.</w:t>
      </w: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EEF1EF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994A28"/>
                <w:sz w:val="21"/>
              </w:rPr>
              <w:t xml:space="preserve">Fil de preuve — </w:t>
            </w:r>
            <w:r>
              <w:rPr>
                <w:rFonts w:ascii="Arial" w:hAnsi="Arial"/>
                <w:b w:val="0"/>
                <w:i w:val="0"/>
                <w:color w:val="20282D"/>
                <w:sz w:val="21"/>
              </w:rPr>
              <w:t>Mission -&gt; pièce ou constat -&gt; statut -&gt; inférence -&gt; contradiction -&gt; conclusion et limite.</w:t>
            </w:r>
          </w:p>
        </w:tc>
      </w:tr>
    </w:tbl>
    <w:p>
      <w:pPr>
        <w:spacing w:after="20"/>
      </w:pPr>
    </w:p>
    <w:p>
      <w:pPr>
        <w:pStyle w:val="Heading2"/>
      </w:pPr>
      <w:r>
        <w:t>Trace attendue</w:t>
      </w:r>
    </w:p>
    <w:p>
      <w:r>
        <w:rPr>
          <w:rFonts w:ascii="Arial" w:hAnsi="Arial"/>
          <w:b w:val="0"/>
          <w:i w:val="0"/>
          <w:color w:val="20282D"/>
          <w:sz w:val="21"/>
        </w:rPr>
        <w:t>Une matrice où chaque case contient un statut et une justification courte.</w:t>
      </w:r>
    </w:p>
    <w:p>
      <w:pPr>
        <w:spacing w:before="100" w:after="40"/>
      </w:pPr>
      <w:r>
        <w:rPr>
          <w:rFonts w:ascii="Arial" w:hAnsi="Arial"/>
          <w:b w:val="0"/>
          <w:i/>
          <w:color w:val="5D686E"/>
          <w:sz w:val="16"/>
        </w:rPr>
        <w:t>Repère documentaire : Méthode IEB du fil de preuve.</w:t>
      </w:r>
    </w:p>
    <w:p>
      <w:r>
        <w:br w:type="page"/>
      </w:r>
    </w:p>
    <w:p>
      <w:pPr>
        <w:pStyle w:val="Heading1"/>
      </w:pPr>
      <w:r>
        <w:t>8 - Graduer et choisir la suite</w:t>
      </w:r>
    </w:p>
    <w:p>
      <w:r>
        <w:rPr>
          <w:rFonts w:ascii="Arial" w:hAnsi="Arial"/>
          <w:b w:val="0"/>
          <w:i w:val="0"/>
          <w:color w:val="20282D"/>
          <w:sz w:val="21"/>
        </w:rPr>
        <w:t>La conclusion peut être établie dans le champ examiné, privilégier une hypothèse, laisser plusieurs hypothèses non départagées ou constater l'impossibilité de conclure.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Décrire la convergence et la meilleure contre-hypothèse.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Nommer le manque qui affecte réellement la décision.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Anticiper plusieurs résultats possibles avant une investigation.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Vérifier autorisation, proportion, compétence et traçabilité.</w:t>
      </w: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EEF1EF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994A28"/>
                <w:sz w:val="21"/>
              </w:rPr>
              <w:t xml:space="preserve">Test de rupture — </w:t>
            </w:r>
            <w:r>
              <w:rPr>
                <w:rFonts w:ascii="Arial" w:hAnsi="Arial"/>
                <w:b w:val="0"/>
                <w:i w:val="0"/>
                <w:color w:val="20282D"/>
                <w:sz w:val="21"/>
              </w:rPr>
              <w:t>Une investigation est utile si ses résultats possibles changeraient la conclusion ou la décision.</w:t>
            </w:r>
          </w:p>
        </w:tc>
      </w:tr>
    </w:tbl>
    <w:p>
      <w:pPr>
        <w:spacing w:after="20"/>
      </w:pPr>
    </w:p>
    <w:p>
      <w:pPr>
        <w:pStyle w:val="Heading2"/>
      </w:pPr>
      <w:r>
        <w:t>Trace attendue</w:t>
      </w:r>
    </w:p>
    <w:p>
      <w:r>
        <w:rPr>
          <w:rFonts w:ascii="Arial" w:hAnsi="Arial"/>
          <w:b w:val="0"/>
          <w:i w:val="0"/>
          <w:color w:val="20282D"/>
          <w:sz w:val="21"/>
        </w:rPr>
        <w:t>Une proposition d'investigation liée à une incertitude, à plusieurs résultats et à leurs effets.</w:t>
      </w:r>
    </w:p>
    <w:p>
      <w:pPr>
        <w:spacing w:before="100" w:after="40"/>
      </w:pPr>
      <w:r>
        <w:rPr>
          <w:rFonts w:ascii="Arial" w:hAnsi="Arial"/>
          <w:b w:val="0"/>
          <w:i/>
          <w:color w:val="5D686E"/>
          <w:sz w:val="16"/>
        </w:rPr>
        <w:t>Repère documentaire : Code de procédure civile, articles 278, 279 et 282, dans le champ judiciaire.</w:t>
      </w:r>
    </w:p>
    <w:p>
      <w:r>
        <w:br w:type="page"/>
      </w:r>
    </w:p>
    <w:p>
      <w:pPr>
        <w:pStyle w:val="Heading1"/>
      </w:pPr>
      <w:r>
        <w:t>9 - L'architecture à double lecture</w:t>
      </w:r>
    </w:p>
    <w:p>
      <w:r>
        <w:rPr>
          <w:rFonts w:ascii="Arial" w:hAnsi="Arial"/>
          <w:b w:val="0"/>
          <w:i w:val="0"/>
          <w:color w:val="20282D"/>
          <w:sz w:val="21"/>
        </w:rPr>
        <w:t>Le rapport doit servir la décision rapide et permettre la vérification détaillée de chaque réponse.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Faire apparaître mission, périmètre et limites dès l'ouverture.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Relier bordereau, diligences, constats, chronologie et analyse.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Répondre explicitement à chaque point de mission.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Rendre annexes et observations retrouvables depuis le corps.</w:t>
      </w: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EEF1EF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994A28"/>
                <w:sz w:val="21"/>
              </w:rPr>
              <w:t xml:space="preserve">Page de synthèse — </w:t>
            </w:r>
            <w:r>
              <w:rPr>
                <w:rFonts w:ascii="Arial" w:hAnsi="Arial"/>
                <w:b w:val="0"/>
                <w:i w:val="0"/>
                <w:color w:val="20282D"/>
                <w:sz w:val="21"/>
              </w:rPr>
              <w:t>La synthèse ne peut pas être plus affirmative que le corps du rapport.</w:t>
            </w:r>
          </w:p>
        </w:tc>
      </w:tr>
    </w:tbl>
    <w:p>
      <w:pPr>
        <w:spacing w:after="20"/>
      </w:pPr>
    </w:p>
    <w:p>
      <w:pPr>
        <w:pStyle w:val="Heading2"/>
      </w:pPr>
      <w:r>
        <w:t>Trace attendue</w:t>
      </w:r>
    </w:p>
    <w:p>
      <w:r>
        <w:rPr>
          <w:rFonts w:ascii="Arial" w:hAnsi="Arial"/>
          <w:b w:val="0"/>
          <w:i w:val="0"/>
          <w:color w:val="20282D"/>
          <w:sz w:val="21"/>
        </w:rPr>
        <w:t>Un sommaire et une table de correspondance entre mission, analyse et conclusion.</w:t>
      </w:r>
    </w:p>
    <w:p>
      <w:pPr>
        <w:spacing w:before="100" w:after="40"/>
      </w:pPr>
      <w:r>
        <w:rPr>
          <w:rFonts w:ascii="Arial" w:hAnsi="Arial"/>
          <w:b w:val="0"/>
          <w:i/>
          <w:color w:val="5D686E"/>
          <w:sz w:val="16"/>
        </w:rPr>
        <w:t>Repère documentaire : Code de procédure civile, articles 244 et 246, dans le champ judiciaire.</w:t>
      </w:r>
    </w:p>
    <w:p>
      <w:r>
        <w:br w:type="page"/>
      </w:r>
    </w:p>
    <w:p>
      <w:pPr>
        <w:pStyle w:val="Heading1"/>
      </w:pPr>
      <w:r>
        <w:t>10 - La phrase experte</w:t>
      </w:r>
    </w:p>
    <w:p>
      <w:r>
        <w:rPr>
          <w:rFonts w:ascii="Arial" w:hAnsi="Arial"/>
          <w:b w:val="0"/>
          <w:i w:val="0"/>
          <w:color w:val="20282D"/>
          <w:sz w:val="21"/>
        </w:rPr>
        <w:t>Marquez le statut de l'information par son sujet, son verbe, sa source et sa portée : établi, rapporté, inféré ou recommandé.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Établi : le constat ou la mesure est localisé.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Rapporté : la source de la déclaration est identifiable.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Inféré : le lien et ses limites sont explicités.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Recommandé : l'action répond à une question et à une décision.</w:t>
      </w: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EEF1EF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994A28"/>
                <w:sz w:val="21"/>
              </w:rPr>
              <w:t xml:space="preserve">Frontière — </w:t>
            </w:r>
            <w:r>
              <w:rPr>
                <w:rFonts w:ascii="Arial" w:hAnsi="Arial"/>
                <w:b w:val="0"/>
                <w:i w:val="0"/>
                <w:color w:val="20282D"/>
                <w:sz w:val="21"/>
              </w:rPr>
              <w:t>Le choix d'un verbe prudent ne corrige pas une appréciation juridique : contrôlez l'effet réel de la phrase.</w:t>
            </w:r>
          </w:p>
        </w:tc>
      </w:tr>
    </w:tbl>
    <w:p>
      <w:pPr>
        <w:spacing w:after="20"/>
      </w:pPr>
    </w:p>
    <w:p>
      <w:pPr>
        <w:pStyle w:val="Heading2"/>
      </w:pPr>
      <w:r>
        <w:t>Trace attendue</w:t>
      </w:r>
    </w:p>
    <w:p>
      <w:r>
        <w:rPr>
          <w:rFonts w:ascii="Arial" w:hAnsi="Arial"/>
          <w:b w:val="0"/>
          <w:i w:val="0"/>
          <w:color w:val="20282D"/>
          <w:sz w:val="21"/>
        </w:rPr>
        <w:t>Une phrase relisible qui permet de savoir qui établit quoi et par quel moyen.</w:t>
      </w:r>
    </w:p>
    <w:p>
      <w:pPr>
        <w:spacing w:before="100" w:after="40"/>
      </w:pPr>
      <w:r>
        <w:rPr>
          <w:rFonts w:ascii="Arial" w:hAnsi="Arial"/>
          <w:b w:val="0"/>
          <w:i/>
          <w:color w:val="5D686E"/>
          <w:sz w:val="16"/>
        </w:rPr>
        <w:t>Repère documentaire : Code de procédure civile, article 238, pour l'absence d'appréciation juridique.</w:t>
      </w:r>
    </w:p>
    <w:p>
      <w:r>
        <w:br w:type="page"/>
      </w:r>
    </w:p>
    <w:p>
      <w:pPr>
        <w:pStyle w:val="Heading1"/>
      </w:pPr>
      <w:r>
        <w:t>11 - Les suites données</w:t>
      </w:r>
    </w:p>
    <w:p>
      <w:r>
        <w:rPr>
          <w:rFonts w:ascii="Arial" w:hAnsi="Arial"/>
          <w:b w:val="0"/>
          <w:i w:val="0"/>
          <w:color w:val="20282D"/>
          <w:sz w:val="21"/>
        </w:rPr>
        <w:t>Une observation reçue est qualifiée, analysée et reliée à une suite : corriger, compléter, nuancer ou maintenir avec motif.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Reformuler l'observation sans caricaturer son auteur.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Identifier le passage et la pièce visés.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Tracer l'effet sur le texte final ou le motif du maintien.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Vérifier que la table et le rapport racontent la même histoire.</w:t>
      </w: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EEF1EF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994A28"/>
                <w:sz w:val="21"/>
              </w:rPr>
              <w:t xml:space="preserve">Contradiction utile — </w:t>
            </w:r>
            <w:r>
              <w:rPr>
                <w:rFonts w:ascii="Arial" w:hAnsi="Arial"/>
                <w:b w:val="0"/>
                <w:i w:val="0"/>
                <w:color w:val="20282D"/>
                <w:sz w:val="21"/>
              </w:rPr>
              <w:t>Répondre à une observation n'est ni défendre son texte par principe, ni effacer le raisonnement antérieur.</w:t>
            </w:r>
          </w:p>
        </w:tc>
      </w:tr>
    </w:tbl>
    <w:p>
      <w:pPr>
        <w:spacing w:after="20"/>
      </w:pPr>
    </w:p>
    <w:p>
      <w:pPr>
        <w:pStyle w:val="Heading2"/>
      </w:pPr>
      <w:r>
        <w:t>Trace attendue</w:t>
      </w:r>
    </w:p>
    <w:p>
      <w:r>
        <w:rPr>
          <w:rFonts w:ascii="Arial" w:hAnsi="Arial"/>
          <w:b w:val="0"/>
          <w:i w:val="0"/>
          <w:color w:val="20282D"/>
          <w:sz w:val="21"/>
        </w:rPr>
        <w:t>Une table des suites données avec localisation précise de la modification ou du maintien.</w:t>
      </w:r>
    </w:p>
    <w:p>
      <w:pPr>
        <w:spacing w:before="100" w:after="40"/>
      </w:pPr>
      <w:r>
        <w:rPr>
          <w:rFonts w:ascii="Arial" w:hAnsi="Arial"/>
          <w:b w:val="0"/>
          <w:i/>
          <w:color w:val="5D686E"/>
          <w:sz w:val="16"/>
        </w:rPr>
        <w:t>Repère documentaire : Code de procédure civile, articles 16 et 276 ; arrêt du 21 janvier 2010 cité dans le cours.</w:t>
      </w:r>
    </w:p>
    <w:p>
      <w:r>
        <w:br w:type="page"/>
      </w:r>
    </w:p>
    <w:p>
      <w:pPr>
        <w:pStyle w:val="Heading1"/>
      </w:pPr>
      <w:r>
        <w:t>12 - Le lecteur adverse</w:t>
      </w:r>
    </w:p>
    <w:p>
      <w:r>
        <w:rPr>
          <w:rFonts w:ascii="Arial" w:hAnsi="Arial"/>
          <w:b w:val="0"/>
          <w:i w:val="0"/>
          <w:color w:val="20282D"/>
          <w:sz w:val="21"/>
        </w:rPr>
        <w:t>Relisez le rapport en sept passes : portée, pièces, raisonnement, cohérence, contradiction, données et lecture.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Chercher la pièce absente et la mauvaise version.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Comparer synthèse, corps, tableaux et annexes.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Supprimer les données personnelles sans utilité démontrée.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Contrôler destinataires, transmission, conservation et versions.</w:t>
      </w: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EEF1EF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994A28"/>
                <w:sz w:val="21"/>
              </w:rPr>
              <w:t xml:space="preserve">Réparation — </w:t>
            </w:r>
            <w:r>
              <w:rPr>
                <w:rFonts w:ascii="Arial" w:hAnsi="Arial"/>
                <w:b w:val="0"/>
                <w:i w:val="0"/>
                <w:color w:val="20282D"/>
                <w:sz w:val="21"/>
              </w:rPr>
              <w:t>Ajouter du texte n'est pas toujours la solution ; réduire une certitude non démontrée peut renforcer le rapport.</w:t>
            </w:r>
          </w:p>
        </w:tc>
      </w:tr>
    </w:tbl>
    <w:p>
      <w:pPr>
        <w:spacing w:after="20"/>
      </w:pPr>
    </w:p>
    <w:p>
      <w:pPr>
        <w:pStyle w:val="Heading2"/>
      </w:pPr>
      <w:r>
        <w:t>Trace attendue</w:t>
      </w:r>
    </w:p>
    <w:p>
      <w:r>
        <w:rPr>
          <w:rFonts w:ascii="Arial" w:hAnsi="Arial"/>
          <w:b w:val="0"/>
          <w:i w:val="0"/>
          <w:color w:val="20282D"/>
          <w:sz w:val="21"/>
        </w:rPr>
        <w:t>Un registre de relecture avec rupture détectée, correction, motif et version.</w:t>
      </w:r>
    </w:p>
    <w:p>
      <w:pPr>
        <w:spacing w:before="100" w:after="40"/>
      </w:pPr>
      <w:r>
        <w:rPr>
          <w:rFonts w:ascii="Arial" w:hAnsi="Arial"/>
          <w:b w:val="0"/>
          <w:i/>
          <w:color w:val="5D686E"/>
          <w:sz w:val="16"/>
        </w:rPr>
        <w:t>Repère documentaire : CNIL, minimisation, habilitations, sécurité des échanges et conservation limitée.</w:t>
      </w:r>
    </w:p>
    <w:p>
      <w:r>
        <w:br w:type="page"/>
      </w:r>
    </w:p>
    <w:p>
      <w:pPr>
        <w:pStyle w:val="Heading1"/>
      </w:pPr>
      <w:r>
        <w:t>13 - Clinique du rapport des Tilleuls</w:t>
      </w:r>
    </w:p>
    <w:p>
      <w:r>
        <w:rPr>
          <w:rFonts w:ascii="Arial" w:hAnsi="Arial"/>
          <w:b w:val="0"/>
          <w:i w:val="0"/>
          <w:color w:val="20282D"/>
          <w:sz w:val="21"/>
        </w:rPr>
        <w:t>Fermez la boucle : contrat de réponse, bordereau, chronologie, matrice, conclusions, suites données et restitution orale doivent former un seul fil de preuve.</w:t>
      </w:r>
    </w:p>
    <w:p>
      <w:pPr>
        <w:spacing w:after="60"/>
        <w:jc w:val="center"/>
      </w:pPr>
      <w:r>
        <w:drawing>
          <wp:inline xmlns:a="http://schemas.openxmlformats.org/drawingml/2006/main" xmlns:pic="http://schemas.openxmlformats.org/drawingml/2006/picture">
            <wp:extent cx="4464000" cy="2976000"/>
            <wp:docPr id="3" name="Picture 3" descr="Planche pédagogique originale IEB ; aucune personne, adresse, entreprise ou affaire réelle n'est représentée." title="Illustration originale IEB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eb-asset-p05-000002__dossier-maison-tilleuls__v0.1.0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464000" cy="2976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rFonts w:ascii="Arial" w:hAnsi="Arial"/>
          <w:b w:val="0"/>
          <w:i/>
          <w:color w:val="5D686E"/>
          <w:sz w:val="17"/>
        </w:rPr>
        <w:t>Planche pédagogique originale IEB ; aucune personne, adresse, entreprise ou affaire réelle n'est représentée.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Deux conclusions de 120 à 180 mots : fissure et auréole.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Une meilleure contre-hypothèse et une limite décisive par réponse.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Une investigation susceptible de changer la décision.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Une restitution de 90 secondes sans information nouvelle.</w:t>
      </w: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EEF1EF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994A28"/>
                <w:sz w:val="21"/>
              </w:rPr>
              <w:t xml:space="preserve">TRACE — </w:t>
            </w:r>
            <w:r>
              <w:rPr>
                <w:rFonts w:ascii="Arial" w:hAnsi="Arial"/>
                <w:b w:val="0"/>
                <w:i w:val="0"/>
                <w:color w:val="20282D"/>
                <w:sz w:val="21"/>
              </w:rPr>
              <w:t>Traiter la mission, Relier les preuves, Analyser les alternatives, Conclure à proportion, Expliciter les limites.</w:t>
            </w:r>
          </w:p>
        </w:tc>
      </w:tr>
    </w:tbl>
    <w:p>
      <w:pPr>
        <w:spacing w:after="20"/>
      </w:pPr>
    </w:p>
    <w:p>
      <w:pPr>
        <w:pStyle w:val="Heading2"/>
      </w:pPr>
      <w:r>
        <w:t>Trace attendue</w:t>
      </w:r>
    </w:p>
    <w:p>
      <w:r>
        <w:rPr>
          <w:rFonts w:ascii="Arial" w:hAnsi="Arial"/>
          <w:b w:val="0"/>
          <w:i w:val="0"/>
          <w:color w:val="20282D"/>
          <w:sz w:val="21"/>
        </w:rPr>
        <w:t>Un mini-rapport complet dont chaque conclusion remonte jusqu'au point de mission.</w:t>
      </w:r>
    </w:p>
    <w:p>
      <w:pPr>
        <w:spacing w:before="100" w:after="40"/>
      </w:pPr>
      <w:r>
        <w:rPr>
          <w:rFonts w:ascii="Arial" w:hAnsi="Arial"/>
          <w:b w:val="0"/>
          <w:i/>
          <w:color w:val="5D686E"/>
          <w:sz w:val="16"/>
        </w:rPr>
        <w:t>Repère documentaire : Synthèse des sources officielles et des méthodes IEB citées dans le cours maître.</w:t>
      </w:r>
    </w:p>
    <w:p>
      <w:r>
        <w:br w:type="page"/>
      </w:r>
    </w:p>
    <w:p>
      <w:pPr>
        <w:pStyle w:val="Heading1"/>
      </w:pPr>
      <w:r>
        <w:t>Sources, statut des exemples et limites</w:t>
      </w:r>
    </w:p>
    <w:p>
      <w:r>
        <w:rPr>
          <w:rFonts w:ascii="Arial" w:hAnsi="Arial"/>
          <w:b w:val="0"/>
          <w:i w:val="0"/>
          <w:color w:val="20282D"/>
          <w:sz w:val="21"/>
        </w:rPr>
        <w:t>Le support reformule le cours maître P-05. Les méthodes de structuration, la Maison des Tilleuls, ses pièces et les deux illustrations sont des créations pédagogiques originales de l'IEB.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Légifrance - Code de procédure civile, articles 16, 232, 237, 238, 244, 246, 275, 276, 278, 279 et 282.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CNIL - Minimiser les données collectées, 27 janvier 2020.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CNIL - Guide de la sécurité des données personnelles.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CNIL - Les durées de conservation des données, 2 avril 2026.</w:t>
      </w:r>
    </w:p>
    <w:p>
      <w:pPr>
        <w:pStyle w:val="ListBullet"/>
      </w:pPr>
      <w:r>
        <w:rPr>
          <w:rFonts w:ascii="Arial" w:hAnsi="Arial"/>
          <w:b w:val="0"/>
          <w:i w:val="0"/>
          <w:color w:val="20282D"/>
          <w:sz w:val="21"/>
        </w:rPr>
        <w:t>Cour de cassation, 2e chambre civile, 21 janvier 2010, pourvoi no 07-13.552.</w:t>
      </w: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EAF0F3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994A28"/>
                <w:sz w:val="21"/>
              </w:rPr>
              <w:t xml:space="preserve">Champ — </w:t>
            </w:r>
            <w:r>
              <w:rPr>
                <w:rFonts w:ascii="Arial" w:hAnsi="Arial"/>
                <w:b w:val="0"/>
                <w:i w:val="0"/>
                <w:color w:val="20282D"/>
                <w:sz w:val="21"/>
              </w:rPr>
              <w:t>Les règles du Code de procédure civile citées concernent la mesure d'instruction judiciaire ; elles ne sont pas transposées automatiquement aux missions contractuelles.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921" w:type="dxa"/>
        <w:tblInd w:w="0" w:type="dxa"/>
        <w:tblLayout w:type="fixed"/>
      </w:tblPr>
      <w:tblGrid>
        <w:gridCol w:w="9921"/>
      </w:tblGrid>
      <w:tr>
        <w:trPr>
          <w:tblHeader w:val="true"/>
        </w:trPr>
        <w:tc>
          <w:tcPr>
            <w:tcW w:type="dxa" w:w="9921"/>
            <w:shd w:fill="F7F3EA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994A28"/>
                <w:sz w:val="21"/>
              </w:rPr>
              <w:t xml:space="preserve">Limite — </w:t>
            </w:r>
            <w:r>
              <w:rPr>
                <w:rFonts w:ascii="Arial" w:hAnsi="Arial"/>
                <w:b w:val="0"/>
                <w:i w:val="0"/>
                <w:color w:val="20282D"/>
                <w:sz w:val="21"/>
              </w:rPr>
              <w:t>Cette ressource ne délivre aucun titre d'expert et ne remplace ni la mission réelle, ni un conseil juridique, ni une compétence technique spécialisée.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879" w:right="935" w:bottom="879" w:left="935" w:header="369" w:footer="36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b w:val="0"/>
        <w:i w:val="0"/>
        <w:color w:val="5D686E"/>
        <w:sz w:val="16"/>
      </w:rPr>
      <w:t>P-05  |  Diagnostic expert et rédaction de rapports  |  0.1.0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40"/>
      <w:jc w:val="left"/>
    </w:pPr>
    <w:r>
      <w:rPr>
        <w:rFonts w:ascii="Arial" w:hAnsi="Arial"/>
        <w:b/>
        <w:i w:val="0"/>
        <w:color w:val="994A28"/>
        <w:sz w:val="17"/>
      </w:rPr>
      <w:t>INSTITUT DE L'EXPERTISE EN BÂTIMENT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8" w:lineRule="auto"/>
    </w:pPr>
    <w:rPr>
      <w:rFonts w:ascii="Arial" w:hAnsi="Arial"/>
      <w:color w:val="20282D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00" w:after="160"/>
      <w:outlineLvl w:val="0"/>
    </w:pPr>
    <w:rPr>
      <w:rFonts w:asciiTheme="majorHAnsi" w:eastAsiaTheme="majorEastAsia" w:hAnsiTheme="majorHAnsi" w:cstheme="majorBidi" w:ascii="Arial" w:hAnsi="Arial"/>
      <w:b/>
      <w:bCs/>
      <w:color w:val="243746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20" w:after="120"/>
      <w:outlineLvl w:val="1"/>
    </w:pPr>
    <w:rPr>
      <w:rFonts w:asciiTheme="majorHAnsi" w:eastAsiaTheme="majorEastAsia" w:hAnsiTheme="majorHAnsi" w:cstheme="majorBidi" w:ascii="Arial" w:hAnsi="Arial"/>
      <w:b/>
      <w:bCs/>
      <w:color w:val="994A28"/>
      <w:sz w:val="27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rial" w:hAnsi="Arial"/>
      <w:b/>
      <w:bCs/>
      <w:color w:val="637565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Arial" w:hAnsi="Arial"/>
      <w:b/>
      <w:color w:val="243746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278" w:lineRule="auto"/>
      <w:ind w:left="397" w:hanging="198"/>
      <w:contextualSpacing/>
    </w:pPr>
    <w:rPr>
      <w:rFonts w:ascii="Arial" w:hAnsi="Arial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278" w:lineRule="auto"/>
      <w:ind w:left="397" w:hanging="198"/>
      <w:contextualSpacing/>
    </w:pPr>
    <w:rPr>
      <w:rFonts w:ascii="Arial" w:hAnsi="Arial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P-05 - Support apprenant</dc:title>
  <dc:subject>Diagnostic expert et rédaction de rapports</dc:subject>
  <dc:creator>Institut de l'Expertise en Bâtiment</dc:creator>
  <cp:keywords>expertise bâtiment, rapport, preuve, contradiction, TRACE</cp:keywords>
  <dc:description>Ressource apprenant - cas entièrement fictif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