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856000"/>
          <w:sz w:val="18"/>
        </w:rPr>
        <w:t>T-01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334A5E"/>
          <w:sz w:val="52"/>
        </w:rPr>
        <w:t>SUPPORT APPRENANT</w:t>
      </w:r>
    </w:p>
    <w:p>
      <w:r>
        <w:rPr>
          <w:rFonts w:ascii="Arial" w:hAnsi="Arial"/>
          <w:b/>
          <w:i w:val="0"/>
          <w:color w:val="526A73"/>
          <w:sz w:val="26"/>
        </w:rPr>
        <w:t>Méthodologie et outils de l'expert en bâtiment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120 minutes obligatoires | 4 leçons | 8 sujets | évaluations incluses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2590420"/>
            <wp:docPr id="1" name="Picture 1" descr="Illustration originale IEB pour T-01 ; aucune personne, adresse, entreprise ou affaire réell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1-000001__chaine-tracabilite-documentair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5904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9656B"/>
          <w:sz w:val="17"/>
        </w:rPr>
        <w:t>Illustration originale IEB pour T-01 ; aucune personne, adresse, entreprise ou affaire réelle.</w:t>
      </w:r>
    </w:p>
    <w:p>
      <w:r>
        <w:rPr>
          <w:rFonts w:ascii="Arial" w:hAnsi="Arial"/>
          <w:b w:val="0"/>
          <w:i/>
          <w:color w:val="252B2F"/>
          <w:sz w:val="22"/>
        </w:rPr>
        <w:t>Une question bornée conduit à une opération utile, qui produit une trace qualifiée, dont le statut et la limite restent visibles jusqu'à la décision humaine.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Cas fil rouge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La Maison du Cadran, ses pièces, ses valeurs et ses vues sont entièrement synthétiques. Aucun cas réel n'est repris.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1 - Transformer la demande en fiche de mission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12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Nommer l'origine, l'usage, l'objet, la zone, la période et les destinataires.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Formuler des questions de fait et un livrable vérifiable.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Rendre visibles accès, exclusions et passage de relais.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Une mission large n'autorise ni l'exhaustivité ni l'attribution d'une responsabilité.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CPC, articles 232, 237, 238 et 244, dans leur seul champ judiciaire.</w:t>
      </w:r>
    </w:p>
    <w:p>
      <w:r>
        <w:br w:type="page"/>
      </w:r>
    </w:p>
    <w:p>
      <w:pPr>
        <w:pStyle w:val="Heading1"/>
      </w:pPr>
      <w:r>
        <w:t>2 - Dessiner une investigation discriminante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13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question, information, opération, résultats possibles, décision, trace et limite.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Prévoir plusieurs résultats avant l'opération.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Écarter une action qui n'influence aucune décision.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La visite générale sans protocole de L-04 est rejetée : elle accumule des fichiers sans départager les branches.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Méthode IEB question-opération-décision-trace.</w:t>
      </w:r>
    </w:p>
    <w:p>
      <w:r>
        <w:br w:type="page"/>
      </w:r>
    </w:p>
    <w:p>
      <w:pPr>
        <w:pStyle w:val="Heading1"/>
      </w:pPr>
      <w:r>
        <w:t>3 - Observer et mesurer sans conclure trop tôt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18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Localiser la zone et décrire les conditions.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Associer instrument, unité, position et contexte à toute valeur.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aspect constaté, mécanisme envisagé et limite.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Un indice instrumental ponctuel n'identifie pas à lui seul une origine, un trajet ou une cause.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Méthode IEB ; CPC article 244 pour les informations recueillies dans le champ judiciaire.</w:t>
      </w:r>
    </w:p>
    <w:p>
      <w:r>
        <w:br w:type="page"/>
      </w:r>
    </w:p>
    <w:p>
      <w:pPr>
        <w:pStyle w:val="Heading1"/>
      </w:pPr>
      <w:r>
        <w:t>4 - Construire une série photographique retrouvable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17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Donner un identifiant stable à chaque vue.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Associer ensemble, contexte et détail à un index.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Conserver l'original, qualifier les copies et limiter la portée des métadonnées.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Les huit cadrages proviennent d'une seule planche synthétique : ils ne valent pas huit sources indépendantes.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2" name="Picture 2" descr="Huit vues synthétiques de la Maison du Cadran ; une seule source graphique, utilisée pour la logique ensemble-contexte-détail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1-000002__planche-traces-maison-cadran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9656B"/>
          <w:sz w:val="17"/>
        </w:rPr>
        <w:t>Huit vues synthétiques de la Maison du Cadran ; une seule source graphique, utilisée pour la logique ensemble-contexte-détail.</w:t>
      </w: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Code civil, article 1366 ; CNIL, données personnelles et métadonnées photo.</w:t>
      </w:r>
    </w:p>
    <w:p>
      <w:r>
        <w:br w:type="page"/>
      </w:r>
    </w:p>
    <w:p>
      <w:pPr>
        <w:pStyle w:val="Heading1"/>
      </w:pPr>
      <w:r>
        <w:t>5 - Organiser pièces, versions et chronologie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15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Rendre provenance, date, version, réception, portée et limite visibles.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 les versions sans écraser la précédente.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Conserver les divergences et intervalles sans information.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Une version annoncée comme courante ne prouve pas qu'elle correspond à l'exécution.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Code civil, article 1366 ; méthode IEB de chronologie qualifiée.</w:t>
      </w:r>
    </w:p>
    <w:p>
      <w:r>
        <w:br w:type="page"/>
      </w:r>
    </w:p>
    <w:p>
      <w:pPr>
        <w:pStyle w:val="Heading1"/>
      </w:pPr>
      <w:r>
        <w:t>6 - Attribuer un statut à chaque phrase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15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Fait : observation, mesure ou document identifié.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Déclaration : source et propos attribués.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Inférence : lien compatible et limite ; recommandation : action reliée à une question.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La couleur ne porte jamais seule le statut : libellé, symbole verbal et formulation l'explicitent.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Méthode IEB des quatre statuts.</w:t>
      </w:r>
    </w:p>
    <w:p>
      <w:r>
        <w:br w:type="page"/>
      </w:r>
    </w:p>
    <w:p>
      <w:pPr>
        <w:pStyle w:val="Heading1"/>
      </w:pPr>
      <w:r>
        <w:t>7 - Choisir, partager et versionner les outils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12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BESOIN : besoin, entrée, sensibilité, outil, niveau d'accès, sortie et contrôle.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originaux, travail, livrables et journal.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CADRE : cadrer, autoriser/minimiser, demander les appuis, refaire les vérifications, enregistrer la décision.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Aucun outil, fournisseur ou canal n'est homologué par cette méthode ; le choix dépend du besoin et du risque.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2590420"/>
            <wp:docPr id="3" name="Picture 3" descr="Chaîne de traçabilité documentaire en sept étapes, création originale IEB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1-000001__chaine-tracabilite-documentair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5904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9656B"/>
          <w:sz w:val="17"/>
        </w:rPr>
        <w:t>Chaîne de traçabilité documentaire en sept étapes, création originale IEB.</w:t>
      </w: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RGPD articles 5 et 32 ; CNIL, minimisation, habilitations, échanges, traces et IA générative.</w:t>
      </w:r>
    </w:p>
    <w:p>
      <w:r>
        <w:br w:type="page"/>
      </w:r>
    </w:p>
    <w:p>
      <w:pPr>
        <w:pStyle w:val="Heading1"/>
      </w:pPr>
      <w:r>
        <w:t>8 - Clinique intégrée de la Maison du Cadran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8EE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18 minutes, activité et contrôle compris. Aucune ressource facultative n'est comptée.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deux questions techniques à une opération discriminante.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Qualifier trois traces, un conflit de date et les quatre statuts.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Motiver une transmission et corriger deux ajouts inexacts d'une synthèse automatisée.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AF7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La note de 180 à 240 mots est revue par une personne selon sept critères ; cette revue porte sur la réponse de l'apprenant.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9656B"/>
          <w:sz w:val="16"/>
        </w:rPr>
        <w:t>Repère documentaire : Synthèse des onze sources publiques et des méthodes IEB du cours.</w:t>
      </w:r>
    </w:p>
    <w:p>
      <w:r>
        <w:br w:type="page"/>
      </w:r>
    </w:p>
    <w:p>
      <w:pPr>
        <w:pStyle w:val="Heading1"/>
      </w:pPr>
      <w:r>
        <w:t>Sources et limites d'usage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Légifrance - Code de procédure civile, article 232 : question de fait confiée à un technicien dans le champ judiciaire.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Légifrance - Code de procédure civile, articles 237, 238 et 244 : objectivité, mission et frontière juridique dans le champ judiciaire.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Légifrance - Code civil, article 1366 : identification de l'auteur et intégrité de l'écrit électronique.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Donnée personnelle : identification directe, indirecte et par recoupement.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Applications de retouche photo : métadonnées possibles des photographies.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Minimiser les données collectées : données adéquates, pertinentes et nécessaires.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Sécurité : gérer les habilitations selon le besoin de la mission.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Sécurité : sécuriser les échanges avec l'extérieur et restreindre les destinataires.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Sécurité : tracer les opérations sur les systèmes traitant des données personnelles.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Questions-réponses sur l'IA générative : données autorisées, vérification et contrôle humain.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EUR-Lex - Règlement (UE) 2016/679, articles 5 et 32 : minimisation, intégrité, confidentialité et sécurité adaptée au risque.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F2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56000"/>
                <w:sz w:val="21"/>
              </w:rPr>
              <w:t xml:space="preserve">Frontière — </w:t>
            </w:r>
            <w:r>
              <w:rPr>
                <w:rFonts w:ascii="Arial" w:hAnsi="Arial"/>
                <w:b w:val="0"/>
                <w:i w:val="0"/>
                <w:color w:val="252B2F"/>
                <w:sz w:val="21"/>
              </w:rPr>
              <w:t>Le cours enseigne une méthode de travail. Il ne délivre ni titre, ni conseil juridique, ni diagnostic de pathologie sur un ouvrage réel.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9656B"/>
        <w:sz w:val="16"/>
      </w:rPr>
      <w:t>T-01  |  Méthodologie et outils de l'expert en bâtiment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856000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52B2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334A5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85600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526A7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334A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T-01 - Support apprenant</dc:title>
  <dc:subject>Méthodologie et outils de l'expert en bâtiment</dc:subject>
  <dc:creator>Institut de l'Expertise en Bâtiment</dc:creator>
  <cp:keywords>méthodologie, investigation, traçabilité, photographie, version, IA</cp:keywords>
  <dc:description>Ressource apprenant - Maison du Cadran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