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"/>
      </w:pPr>
      <w:r>
        <w:rPr>
          <w:rFonts w:ascii="Arial" w:hAnsi="Arial"/>
          <w:b/>
          <w:i w:val="0"/>
          <w:color w:val="A7552D"/>
          <w:sz w:val="18"/>
        </w:rPr>
        <w:t>T-02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173E4E"/>
          <w:sz w:val="52"/>
        </w:rPr>
        <w:t>SUPPORT APPRENANT</w:t>
      </w:r>
    </w:p>
    <w:p>
      <w:r>
        <w:rPr>
          <w:rFonts w:ascii="Arial" w:hAnsi="Arial"/>
          <w:b/>
          <w:i w:val="0"/>
          <w:color w:val="315C4B"/>
          <w:sz w:val="26"/>
        </w:rPr>
        <w:t>Créer et développer son activité d'expert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120 minutes obligatoires | 4 leçons | 8 sujets | 31 minutes d'évaluation déjà incluses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1" name="Picture 1" descr="Carte originale IEB de l'offre bornée : offre reliée aux sept champs cible, situation, décision, livrable, appuis, exclusions et relais. Le Projet Balise est entièrement synthétiqu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1__carte-offre-bornee__v0.2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Carte originale IEB de l'offre bornée : offre reliée aux sept champs cible, situation, décision, livrable, appuis, exclusions et relais. Le Projet Balise est entièrement synthétique.</w:t>
      </w:r>
    </w:p>
    <w:p>
      <w:r>
        <w:rPr>
          <w:rFonts w:ascii="Arial" w:hAnsi="Arial"/>
          <w:b w:val="0"/>
          <w:i/>
          <w:color w:val="242928"/>
          <w:sz w:val="22"/>
        </w:rPr>
        <w:t>Une offre bornée, des protections vérifiées et une économie pilotée permettent de décider quoi accepter, décaler, refuser ou orienter.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Fil rouge synthétique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Projet Balise ne représente aucune personne, entreprise, adresse, client, assureur ou mission réelle. Aucun écho de cas réel n'est utilisé. Aucune ressource facultative n'est comptée dans les 120 minutes.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1 — Passer de la compétence à une offre bornée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Choisir une cible et une situation d'usage plutôt que promettre à tous.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problème observable, décision à éclairer et livrable vérifiable.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appuis, exclusions et passage de relais aussi visibles que la promesse.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Une preuve de capacité soutient une promesse précise ; elle ne transforme pas une compétence en garantie de résultat.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860000" cy="3240000"/>
            <wp:docPr id="2" name="Picture 2" descr="Carte originale IEB de l'offre bornée : offre reliée aux sept champs cible, situation, décision, livrable, appuis, exclusions et relai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1__carte-offre-bornee__v0.2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32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Carte originale IEB de l'offre bornée : offre reliée aux sept champs cible, situation, décision, livrable, appuis, exclusions et relais.</w:t>
      </w: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IEB-W02-SRC-T02-006 (T02-C007); IEB-W02-SRC-T02-013 (T02-C016, T02-C017); IEB-W02-SRC-T02-015 (T02-C020, T02-C021)</w:t>
      </w:r>
    </w:p>
    <w:p>
      <w:r>
        <w:br w:type="page"/>
      </w:r>
    </w:p>
    <w:p>
      <w:pPr>
        <w:pStyle w:val="Heading1"/>
      </w:pPr>
      <w:r>
        <w:t>2 — Qualifier avant de promettre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Distinguer contact, opportunité et mission.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Contrôler demandeur, usage, objet, compétence, conflit, accès, délai, assurance et destinataires.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Choisir explicitement : accepter, clarifier, refuser ou orienter.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Une demande ne devient jamais mission par inertie. Un point critique non résolu ferme la porte jusqu'à clarification.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IEB-W02-SRC-T02-012 (T02-C014, T02-C015)</w:t>
      </w:r>
    </w:p>
    <w:p>
      <w:r>
        <w:br w:type="page"/>
      </w:r>
    </w:p>
    <w:p>
      <w:pPr>
        <w:pStyle w:val="Heading1"/>
      </w:pPr>
      <w:r>
        <w:t>3 — Choisir un cadre avec la matrice CHOIX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collectif et gouvernance, horizon, obligations, imposition/protection et exposition/financement.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Nommer les hypothèses, les sources datées et les questions encore ouvertes.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Saisir l'administration, l'assureur, l'expert-comptable ou le conseil selon la question.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La matrice ne recommande aucune forme : elle prépare une décision contextualisée et révisable.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IEB-W02-SRC-T02-002 (T02-C002); IEB-W02-SRC-T02-004 (T02-C004); IEB-W02-SRC-T02-011 (T02-C013); IEB-W02-SRC-T02-012 (T02-C014, T02-C015); IEB-W02-SRC-T02-013 (T02-C016, T02-C017)</w:t>
      </w:r>
    </w:p>
    <w:p>
      <w:r>
        <w:br w:type="page"/>
      </w:r>
    </w:p>
    <w:p>
      <w:pPr>
        <w:pStyle w:val="Heading1"/>
      </w:pPr>
      <w:r>
        <w:t>4 — Assembler le bouclier de mission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Promettre, informer, consentir, couvrir, tracer, facturer et traiter une réclamation.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Rapprocher l'activité réelle de l'écrit de l'assureur sans présumer la couverture.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Adapter les contrôles au client, au canal et au commencement demandé.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Une proposition signée, une attestation ou une facture constitue une trace utile, jamais une preuve suffisante de conformité globale.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IEB-W02-SRC-T02-006 (T02-C007); IEB-W02-SRC-T02-007 (T02-C008); IEB-W02-SRC-T02-008 (T02-C009); IEB-W02-SRC-T02-009 (T02-C010); IEB-W02-SRC-T02-010 (T02-C011, T02-C012); IEB-W02-SRC-T02-011 (T02-C013); IEB-W02-SRC-T02-012 (T02-C014, T02-C015); IEB-W02-SRC-T02-015 (T02-C020, T02-C021); IEB-W02-SRC-T02-016 (T02-C022, T02-C023, T02-C024)</w:t>
      </w:r>
    </w:p>
    <w:p>
      <w:r>
        <w:br w:type="page"/>
      </w:r>
    </w:p>
    <w:p>
      <w:pPr>
        <w:pStyle w:val="Heading1"/>
      </w:pPr>
      <w:r>
        <w:t>5 — Calculer le prix à partir de la capacité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temps disponible, non facturable, productif et facturable.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Additionner coûts directs, structure, rémunération cible, protection et réserve.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Tester volume, durée de dossier, encaissement et mois dégradé avant de retenir un prix.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Le chiffre d'affaires facturé n'est ni le montant encaissé, ni le revenu disponible. Chaque unité et période doit rester visible.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IEB-W02-SRC-T02-001 (T02-C001); IEB-W02-SRC-T02-013 (T02-C016, T02-C017)</w:t>
      </w:r>
    </w:p>
    <w:p>
      <w:r>
        <w:br w:type="page"/>
      </w:r>
    </w:p>
    <w:p>
      <w:pPr>
        <w:pStyle w:val="Heading1"/>
      </w:pPr>
      <w:r>
        <w:t>6 — Construire une acquisition utile et permise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Qualifier destinataire, provenance, canal, information et choix avant le premier message.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Utiliser PREUVE : problème, résultat, étendue, utilité, vérifiabilité et étape suivante.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Arrêter sur opposition, doute de provenance ou inadéquation avec le segment.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Une coordonnée accessible n'autorise pas automatiquement tout message. La règle dépend notamment du destinataire, du canal et de la finalité.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IEB-W02-SRC-T02-014 (T02-C018, T02-C019); IEB-W02-SRC-T02-015 (T02-C020, T02-C021); IEB-W02-SRC-T02-016 (T02-C022, T02-C023, T02-C024)</w:t>
      </w:r>
    </w:p>
    <w:p>
      <w:r>
        <w:br w:type="page"/>
      </w:r>
    </w:p>
    <w:p>
      <w:pPr>
        <w:pStyle w:val="Heading1"/>
      </w:pPr>
      <w:r>
        <w:t>7 — Piloter le parcours du contact à l'encaissement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huit stades distincts : contact, qualifié, proposition, mission, livré, facturé, encaissé, recommandé.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Définir pour chaque stade un critère d'entrée, une trace et une sortie.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Agir sur le goulot observé plutôt que collecter davantage par réflexe.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Un dossier livré mais non encaissé ne résout pas un besoin de trésorerie ; un contact n'occupe pas encore la capacité d'une mission.</w:t>
            </w:r>
          </w:p>
        </w:tc>
      </w:tr>
    </w:tbl>
    <w:p>
      <w:pPr>
        <w:spacing w:after="20"/>
      </w:pP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IEB-W02-SRC-T02-013 (T02-C016, T02-C017)</w:t>
      </w:r>
    </w:p>
    <w:p>
      <w:r>
        <w:br w:type="page"/>
      </w:r>
    </w:p>
    <w:p>
      <w:pPr>
        <w:pStyle w:val="Heading1"/>
      </w:pPr>
      <w:r>
        <w:t>8 — Clinique du Projet Balise : décider sur quatre-vingt-dix jours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7EEF1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Temps obligatoire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15 minutes, production et contrôle compris. L'évaluation est exécutée une seule fois et n'ajoute aucune minute.</w:t>
            </w:r>
          </w:p>
        </w:tc>
      </w:tr>
    </w:tbl>
    <w:p>
      <w:pPr>
        <w:spacing w:after="20"/>
      </w:pP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offre, qualification, cadre, protections, économie, acquisition et flux.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Planifier douze actions, trois expériences, six indicateurs et leurs traces.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À chaque date de lecture, décider continuer, modifier ou arrêter et nommer le passage de relais.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BF7EE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Point de vigilance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La clinique est entièrement synthétique. La revue humaine porte sur la réponse finale de l'apprenant, pas sur le statut du contenu.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472000" cy="3648000"/>
            <wp:docPr id="3" name="Picture 3" descr="Cockpit original IEB : huit stades distincts, dont facturé et encaissé, puis décisions continuer, modifier ou arrêter selon la capacité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t02-000002__cockpit-90-jours-flux-capacite__v0.2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648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E6662"/>
          <w:sz w:val="17"/>
        </w:rPr>
        <w:t>Cockpit original IEB : huit stades distincts, dont facturé et encaissé, puis décisions continuer, modifier ou arrêter selon la capacité.</w:t>
      </w:r>
    </w:p>
    <w:p>
      <w:pPr>
        <w:spacing w:before="80" w:after="40"/>
      </w:pPr>
      <w:r>
        <w:rPr>
          <w:rFonts w:ascii="Arial" w:hAnsi="Arial"/>
          <w:b w:val="0"/>
          <w:i/>
          <w:color w:val="5E6662"/>
          <w:sz w:val="16"/>
        </w:rPr>
        <w:t>Repère documentaire : Méthode IEB explicitée dans le cours maître T-02</w:t>
      </w:r>
    </w:p>
    <w:p>
      <w:r>
        <w:br w:type="page"/>
      </w:r>
    </w:p>
    <w:p>
      <w:pPr>
        <w:pStyle w:val="Heading1"/>
      </w:pPr>
      <w:r>
        <w:t>Sources officielles vérifiées et limites d'usage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D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A7552D"/>
                <w:sz w:val="21"/>
              </w:rPr>
              <w:t xml:space="preserve">Frontière — </w:t>
            </w:r>
            <w:r>
              <w:rPr>
                <w:rFonts w:ascii="Arial" w:hAnsi="Arial"/>
                <w:b w:val="0"/>
                <w:i w:val="0"/>
                <w:color w:val="242928"/>
                <w:sz w:val="21"/>
              </w:rPr>
              <w:t>Ce support enseigne une méthode de qualification. Il ne recommande ni statut, régime fiscal ou social, assurance, prix de marché, ni clause pour une situation réelle. Les informations variables sont contrôlées à la date de la décision.</w:t>
            </w:r>
          </w:p>
        </w:tc>
      </w:tr>
    </w:tbl>
    <w:p>
      <w:pPr>
        <w:spacing w:after="20"/>
      </w:pP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474"/>
        <w:gridCol w:w="2721"/>
        <w:gridCol w:w="1303"/>
        <w:gridCol w:w="1984"/>
        <w:gridCol w:w="2437"/>
      </w:tblGrid>
      <w:tr>
        <w:trPr>
          <w:tblHeader w:val="true"/>
        </w:trPr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Éditeur et titre</w:t>
            </w:r>
          </w:p>
        </w:tc>
        <w:tc>
          <w:tcPr>
            <w:tcW w:type="dxa" w:w="130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Affirmation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24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IEB-W02-SRC-T02-001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Entreprendre Service Public — Direction de l'information légale et administrative — Projet de création d'entreprise : comment concevoir un business plan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T02-C001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« À quoi sert le business plan ? » et « Quelles sont les étapes du business plan ?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page ne valide pas les hypothèses économiques d'un projet précis et ne fixe pas un prix de prestation.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IEB-W02-SRC-T02-002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Entreprendre Service Public — Direction de l'information légale et administrative — Créer une entreprise : vérifier si l'activité envisagée est réglementée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T02-C002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introduction ; sections « Conditions d'accès » et « Conditions d'exercice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page indique qu'il n'existe pas de liste exhaustive ; le libellé exact des actes proposés doit être examiné, sans déduire un régime du seul mot expert.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IEB-W02-SRC-T02-003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Entreprendre Service Public — Direction de l'information légale et administrative — Création d'entreprise : choisir la forme juridique de votre entreprise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T02-C003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introduction et rubriques 1 à 6 de chaque nature d'activité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Les taux, seuils et coûts de la page sont temporels. Ils ne sont pas repris dans le cours et doivent être vérifiés pour la situation réelle.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IEB-W02-SRC-T02-004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Institut national de la propriété industrielle — Guichet unique des formalités d'entreprises — Formalités d'entreprises — accueil et identité de l'entreprise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T02-C004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page d'accueil, sous-titre du service ; rubrique « Identité de l'entreprise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cours ne réalise aucune formalité et ne préjuge pas des justificatifs demandés par le parcours correspondant à l'activité réelle.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IEB-W02-SRC-T02-005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civil — articles 1103 et 1104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T02-C005; T02-C006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1103, alinéa unique; article 1104, alinéas 1 et 2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Ces principes généraux ne remplacent pas les règles spéciales applicables au client, au canal ou au type de prestation.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Sources officielles vérifiées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474"/>
        <w:gridCol w:w="2721"/>
        <w:gridCol w:w="1303"/>
        <w:gridCol w:w="1984"/>
        <w:gridCol w:w="2437"/>
      </w:tblGrid>
      <w:tr>
        <w:trPr>
          <w:tblHeader w:val="true"/>
        </w:trPr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Éditeur et titre</w:t>
            </w:r>
          </w:p>
        </w:tc>
        <w:tc>
          <w:tcPr>
            <w:tcW w:type="dxa" w:w="130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Affirmation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24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IEB-W02-SRC-T02-006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liminaire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T02-C007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liminaire, 1° et 3°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La qualification dépend de la finalité concrète de la personne pour le contrat concerné ; le cours ne tranche pas les situations mixtes.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IEB-W02-SRC-T02-007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L111-1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T02-C008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L111-1, 1° à 6°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contenu précis dépend du service et d'autres textes ; une proposition commerciale doit être contrôlée dans son contexte.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IEB-W02-SRC-T02-008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L221-5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T02-C009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L221-5, I, 1° à 10°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champ, les exceptions et la fonctionnalité de rétractation doivent être examinés pour le contrat réel ; le cours ne fournit pas de formulaire juridique.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IEB-W02-SRC-T02-009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L221-18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T02-C010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L221-18, alinéas 1 et 2, 1°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Des exclusions et règles particulières existent. Le cours n'affirme pas que tout contrat ou toute mission ouvre ce droit.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IEB-W02-SRC-T02-010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L221-25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T02-C011; T02-C012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L221-25, alinéa 1; article L221-25, alinéas 2 et 3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L'application dépend du champ du contrat, des informations remises, de la demande expresse et de l'état d'exécution.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Sources officielles vérifiées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474"/>
        <w:gridCol w:w="2721"/>
        <w:gridCol w:w="1303"/>
        <w:gridCol w:w="1984"/>
        <w:gridCol w:w="2437"/>
      </w:tblGrid>
      <w:tr>
        <w:trPr>
          <w:tblHeader w:val="true"/>
        </w:trPr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Éditeur et titre</w:t>
            </w:r>
          </w:p>
        </w:tc>
        <w:tc>
          <w:tcPr>
            <w:tcW w:type="dxa" w:w="130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Affirmation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24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IEB-W02-SRC-T02-011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la consommation — article L612-1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T02-C013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L612-1, alinéas 1 à 3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médiateur compétent et les conditions de recevabilité doivent être identifiés pour l'activité réelle.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IEB-W02-SRC-T02-012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Entreprendre Service Public — Direction de l'information légale et administrative — Assurances de la société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T02-C014; T02-C015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introduction et section « Quelles sont les assurances obligatoires ? »; section « Assurance de l'activité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titre de la fiche vise les sociétés. Le cours n'en déduit aucune obligation pour une mission d'expert : l'activité et la police réelles doivent être décrites et confirmées par écrit.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IEB-W02-SRC-T02-013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 commerce — article L441-9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T02-C016; T02-C017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L441-9, I, alinéas 1 à 4; article L441-9, I, alinéa 5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texte est cité dans son champ professionnel et sa version alors en vigueur ; les autres mentions fiscales ou sectorielles et les évolutions de facturation électronique doivent être contrôlées séparément.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IEB-W02-SRC-T02-014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Code des postes et des communications électroniques — article L34-5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T02-C018; T02-C019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L34-5, alinéas 1 à 4; article L34-5, alinéa 5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cours se limite au courrier électronique. Une décision QPC du 25 juin 2026 affecte certains alinéas de sanction avec abrogation reportée ; elle ne justifie aucune extrapolation au téléphone ou à d'autres canaux.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IEB-W02-SRC-T02-015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Commission nationale de l'informatique et des libertés — Communications par voie électronique aux prospects et clients : quelles règles respecter ?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T02-C020; T02-C021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section « Prospection vers les particuliers »; section « Prospection vers les professionnels »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type d'adresse ne suffit pas toujours à qualifier le destinataire. La provenance des données, le contenu du message et les autres canaux doivent être examinés.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Sources officielles vérifiées — suite</w:t>
      </w:r>
    </w:p>
    <w:tbl>
      <w:tblPr>
        <w:tblStyle w:val="TableGrid"/>
        <w:jc w:val="center"/>
        <w:tblLook w:firstColumn="1" w:firstRow="1" w:lastColumn="0" w:lastRow="0" w:noHBand="0" w:noVBand="1" w:val="04A0"/>
        <w:tblW w:w="9919" w:type="dxa"/>
        <w:tblInd w:w="0" w:type="dxa"/>
        <w:tblLayout w:type="fixed"/>
      </w:tblPr>
      <w:tblGrid>
        <w:gridCol w:w="1474"/>
        <w:gridCol w:w="2721"/>
        <w:gridCol w:w="1303"/>
        <w:gridCol w:w="1984"/>
        <w:gridCol w:w="2437"/>
      </w:tblGrid>
      <w:tr>
        <w:trPr>
          <w:tblHeader w:val="true"/>
        </w:trPr>
        <w:tc>
          <w:tcPr>
            <w:tcW w:type="dxa" w:w="147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Source</w:t>
            </w:r>
          </w:p>
        </w:tc>
        <w:tc>
          <w:tcPr>
            <w:tcW w:type="dxa" w:w="2721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Éditeur et titre</w:t>
            </w:r>
          </w:p>
        </w:tc>
        <w:tc>
          <w:tcPr>
            <w:tcW w:type="dxa" w:w="1303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Affirmation</w:t>
            </w:r>
          </w:p>
        </w:tc>
        <w:tc>
          <w:tcPr>
            <w:tcW w:type="dxa" w:w="1984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Localisation</w:t>
            </w:r>
          </w:p>
        </w:tc>
        <w:tc>
          <w:tcPr>
            <w:tcW w:type="dxa" w:w="2437"/>
            <w:shd w:fill="173E4E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Limite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IEB-W02-SRC-T02-016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Union européenne — EUR-Lex — Règlement (UE) 2016/679 — articles 5, 13 et 21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T02-C022; T02-C023; T02-C024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 5, paragraphe 1, points a à c; article 13, paragraphes 1 et 2; article 21, paragraphes 2 et 3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cours ne choisit pas la base juridique d'un fichier réel, ne fixe pas sa conservation et ne remplace pas le registre ou l'information adaptée au traitement.</w:t>
            </w:r>
          </w:p>
        </w:tc>
      </w:tr>
      <w:tr>
        <w:tc>
          <w:tcPr>
            <w:tcW w:type="dxa" w:w="147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IEB-W02-SRC-T02-017</w:t>
            </w:r>
          </w:p>
        </w:tc>
        <w:tc>
          <w:tcPr>
            <w:tcW w:type="dxa" w:w="2721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Légifrance — Loi n° 71-498 du 29 juin 1971 relative aux experts judiciaires — articles 2 à 4</w:t>
            </w:r>
          </w:p>
        </w:tc>
        <w:tc>
          <w:tcPr>
            <w:tcW w:type="dxa" w:w="1303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T02-C025</w:t>
            </w:r>
          </w:p>
        </w:tc>
        <w:tc>
          <w:tcPr>
            <w:tcW w:type="dxa" w:w="1984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articles 2, 3 et 4</w:t>
            </w:r>
          </w:p>
        </w:tc>
        <w:tc>
          <w:tcPr>
            <w:tcW w:type="dxa" w:w="2437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242928"/>
                <w:sz w:val="18"/>
              </w:rPr>
              <w:t>Le cours n'analyse pas les usages généraux du mot expert. Il interdit seulement de revendiquer ou suggérer une qualité judiciaire non acquise.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E6662"/>
        <w:sz w:val="16"/>
      </w:rPr>
      <w:t>T-02  |  Créer et développer son activité d'expert  |  0.2.0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A7552D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429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73E4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A7552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315C4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73E4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T-02 - Support apprenant</dc:title>
  <dc:subject>Créer et développer son activité d'expert</dc:subject>
  <dc:creator>Institut de l'Expertise en Bâtiment</dc:creator>
  <cp:keywords>offre, qualification, cadre, assurance, capacité, prix, acquisition, pilotage</cp:keywords>
  <dc:description>Ressource apprenant - Projet Balise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