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  <w:r>
        <w:t>A-04 | EXPERTISE IMMOBILIÈRE</w:t>
      </w:r>
    </w:p>
    <w:p>
      <w:pPr>
        <w:pStyle w:val="Heading1"/>
      </w:pPr>
      <w:r>
        <w:t>Annexes de mission</w:t>
      </w:r>
    </w:p>
    <w:p>
      <w:pPr/>
      <w:r>
        <w:t>Données à qualifier, pièces décrites et gabarits</w:t>
      </w:r>
    </w:p>
    <w:p>
      <w:pPr/>
      <w:r>
        <w:t>Parcours de 240 minutes | Six unités | Version 0.1.0</w:t>
      </w:r>
    </w:p>
    <w:p>
      <w:pPr/>
      <w:r>
        <w:t>Résidence Belvédère est un scénario entièrement synthétique. Les unités pédagogiques (UP) ne correspondent à aucun marché réel.</w:t>
      </w:r>
    </w:p>
    <w:p>
      <w:pPr/>
      <w:r>
        <w:t>Usage : apprenant. Les activités de ces supports sont comprises dans les 240 minutes ; les 38 minutes d’évaluation ne s’ajoutent pas au parcours.</w:t>
      </w:r>
    </w:p>
    <w:p>
      <w:pPr/>
      <w:r>
        <w:t>Les fiches qui suivent décrivent les informations disponibles dans l’exercice. Elles ne reproduisent aucun titre, plan, diagnostic ou procès-verbal réel. Les états « absent » ou « incomplet » font partie de la situation à analyser.</w:t>
      </w:r>
    </w:p>
    <w:p>
      <w:pPr>
        <w:pStyle w:val="Heading2"/>
      </w:pPr>
      <w:r>
        <w:t>Commande reçue</w:t>
      </w:r>
    </w:p>
    <w:p>
      <w:pPr/>
      <w:r>
        <w:t>donner rapidement un prix pour décider de vendre ou de conserver le lot après travaux</w:t>
      </w:r>
    </w:p>
    <w:p>
      <w:pPr/>
      <w:r>
        <w:t>Décision demandée pour le 15 septembre 2026, à la date de valeur fictive du 31 août 2026. Destinataires : propriétaire fictif et conseil patrimonial fictif. Appartement de trois pièces, 68,4 m² pédagogiques, quatrième étage, lot 42 et cave ; usage de stationnement déclaré.</w:t>
      </w:r>
    </w:p>
    <w:p>
      <w:pPr/>
      <w:r>
        <w:t>La visite du 25 août 2026 est visuelle, non destructive et limitée aux zones autorisées.</w:t>
      </w:r>
    </w:p>
    <w:p>
      <w:pPr/>
      <w:r>
        <w:t>Références : A04-C001, A04-C002, A04-C003, A04-C004, A04-C005, A04-C006.</w:t>
      </w:r>
    </w:p>
    <w:p>
      <w:pPr>
        <w:pStyle w:val="Heading1"/>
        <w:pageBreakBefore/>
      </w:pPr>
      <w:r>
        <w:t>Dossier documentaire | 1 à 2</w:t>
      </w:r>
    </w:p>
    <w:p>
      <w:pPr>
        <w:pStyle w:val="Heading2"/>
      </w:pPr>
      <w:r>
        <w:t>BELVEDERE-DOC-001 | titre fictif</w:t>
      </w:r>
    </w:p>
    <w:p>
      <w:pPr>
        <w:pStyle w:val="Caption"/>
        <w:keepNext/>
      </w:pPr>
      <w:r>
        <w:t>Fiche documentaire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  <w:tblBorders>
          <w:top w:val="single" w:sz="4" w:color="BCCBC1"/>
          <w:left w:val="single" w:sz="4" w:color="BCCBC1"/>
          <w:bottom w:val="single" w:sz="4" w:color="BCCBC1"/>
          <w:right w:val="single" w:sz="4" w:color="BCCBC1"/>
          <w:insideH w:val="single" w:sz="4" w:color="BCCBC1"/>
          <w:insideV w:val="single" w:sz="4" w:color="BCCBC1"/>
        </w:tblBorders>
      </w:tblPr>
      <w:tblGrid>
        <w:gridCol w:w="2160"/>
        <w:gridCol w:w="7200"/>
      </w:tblGrid>
      <w:tr>
        <w:trPr>
          <w:cantSplit/>
          <w:tblHeader/>
        </w:trPr>
        <w:tc>
          <w:tcPr>
            <w:tcW w:type="dxa" w:w="2160"/>
            <w:shd w:fill="E7EEE8"/>
          </w:tcPr>
          <w:p>
            <w:pPr>
              <w:spacing w:before="0" w:after="80" w:line="269" w:lineRule="auto"/>
            </w:pPr>
            <w:r>
              <w:rPr>
                <w:b/>
                <w:sz w:val="18"/>
              </w:rPr>
              <w:t>Champ</w:t>
            </w:r>
          </w:p>
        </w:tc>
        <w:tc>
          <w:tcPr>
            <w:tcW w:type="dxa" w:w="7200"/>
            <w:shd w:fill="E7EEE8"/>
          </w:tcPr>
          <w:p>
            <w:pPr>
              <w:spacing w:before="0" w:after="80" w:line="269" w:lineRule="auto"/>
            </w:pPr>
            <w:r>
              <w:rPr>
                <w:b/>
                <w:sz w:val="18"/>
              </w:rPr>
              <w:t>Information disponible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Auteur fictif</w:t>
            </w:r>
          </w:p>
        </w:tc>
        <w:tc>
          <w:tcPr>
            <w:tcW w:type="dxa" w:w="720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étude fictive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Date et version</w:t>
            </w:r>
          </w:p>
        </w:tc>
        <w:tc>
          <w:tcPr>
            <w:tcW w:type="dxa" w:w="720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2012-04-12 | copie exercice v1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Objet et portée</w:t>
            </w:r>
          </w:p>
        </w:tc>
        <w:tc>
          <w:tcPr>
            <w:tcW w:type="dxa" w:w="720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lot 42 et cave fictive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État et situation</w:t>
            </w:r>
          </w:p>
        </w:tc>
        <w:tc>
          <w:tcPr>
            <w:tcW w:type="dxa" w:w="720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disponible. Le titre décrit le lot et la cave, mais ne mentionne pas le stationnement.</w:t>
            </w:r>
          </w:p>
        </w:tc>
      </w:tr>
    </w:tbl>
    <w:p>
      <w:pPr>
        <w:keepNext/>
        <w:spacing w:before="100"/>
      </w:pPr>
      <w:r>
        <w:t>Qualification : cohérence, usage possible, limite et action à décider.</w:t>
      </w:r>
    </w:p>
    <w:p>
      <w:pPr>
        <w:spacing w:after="160" w:line="360" w:lineRule="exact"/>
        <w:pBdr>
          <w:bottom w:val="single" w:sz="2" w:color="BEC9C2"/>
        </w:pBdr>
      </w:pPr>
      <w:r>
        <w:t xml:space="preserve"> </w:t>
      </w:r>
    </w:p>
    <w:p>
      <w:pPr>
        <w:pStyle w:val="Heading2"/>
      </w:pPr>
      <w:r>
        <w:t>BELVEDERE-DOC-002 | plan commercial fictif</w:t>
      </w:r>
    </w:p>
    <w:p>
      <w:pPr>
        <w:pStyle w:val="Caption"/>
        <w:keepNext/>
      </w:pPr>
      <w:r>
        <w:t>Fiche documentaire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  <w:tblBorders>
          <w:top w:val="single" w:sz="4" w:color="BCCBC1"/>
          <w:left w:val="single" w:sz="4" w:color="BCCBC1"/>
          <w:bottom w:val="single" w:sz="4" w:color="BCCBC1"/>
          <w:right w:val="single" w:sz="4" w:color="BCCBC1"/>
          <w:insideH w:val="single" w:sz="4" w:color="BCCBC1"/>
          <w:insideV w:val="single" w:sz="4" w:color="BCCBC1"/>
        </w:tblBorders>
      </w:tblPr>
      <w:tblGrid>
        <w:gridCol w:w="2160"/>
        <w:gridCol w:w="7200"/>
      </w:tblGrid>
      <w:tr>
        <w:trPr>
          <w:cantSplit/>
          <w:tblHeader/>
        </w:trPr>
        <w:tc>
          <w:tcPr>
            <w:tcW w:type="dxa" w:w="2160"/>
            <w:shd w:fill="E7EEE8"/>
          </w:tcPr>
          <w:p>
            <w:pPr>
              <w:spacing w:before="0" w:after="80" w:line="269" w:lineRule="auto"/>
            </w:pPr>
            <w:r>
              <w:rPr>
                <w:b/>
                <w:sz w:val="18"/>
              </w:rPr>
              <w:t>Champ</w:t>
            </w:r>
          </w:p>
        </w:tc>
        <w:tc>
          <w:tcPr>
            <w:tcW w:type="dxa" w:w="7200"/>
            <w:shd w:fill="E7EEE8"/>
          </w:tcPr>
          <w:p>
            <w:pPr>
              <w:spacing w:before="0" w:after="80" w:line="269" w:lineRule="auto"/>
            </w:pPr>
            <w:r>
              <w:rPr>
                <w:b/>
                <w:sz w:val="18"/>
              </w:rPr>
              <w:t>Information disponible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Auteur fictif</w:t>
            </w:r>
          </w:p>
        </w:tc>
        <w:tc>
          <w:tcPr>
            <w:tcW w:type="dxa" w:w="720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promoteur fictif historique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Date et version</w:t>
            </w:r>
          </w:p>
        </w:tc>
        <w:tc>
          <w:tcPr>
            <w:tcW w:type="dxa" w:w="720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1974-02-10 | scan exercice v1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Objet et portée</w:t>
            </w:r>
          </w:p>
        </w:tc>
        <w:tc>
          <w:tcPr>
            <w:tcW w:type="dxa" w:w="720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représentation ancienne portant le numéro 24 et 69 m² arrondis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État et situation</w:t>
            </w:r>
          </w:p>
        </w:tc>
        <w:tc>
          <w:tcPr>
            <w:tcW w:type="dxa" w:w="720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disponible, non rapproché. Le numéro et la surface ne concordent pas avec les données actuelles du dossier.</w:t>
            </w:r>
          </w:p>
        </w:tc>
      </w:tr>
    </w:tbl>
    <w:p>
      <w:pPr>
        <w:keepNext/>
        <w:spacing w:before="100"/>
      </w:pPr>
      <w:r>
        <w:t>Qualification : cohérence, usage possible, limite et action à décider.</w:t>
      </w:r>
    </w:p>
    <w:p>
      <w:pPr>
        <w:spacing w:after="160" w:line="360" w:lineRule="exact"/>
        <w:pBdr>
          <w:bottom w:val="single" w:sz="2" w:color="BEC9C2"/>
        </w:pBdr>
      </w:pPr>
      <w:r>
        <w:t xml:space="preserve"> </w:t>
      </w:r>
    </w:p>
    <w:p>
      <w:pPr>
        <w:pStyle w:val="Heading1"/>
        <w:pageBreakBefore/>
      </w:pPr>
      <w:r>
        <w:t>Dossier documentaire | 3 à 4</w:t>
      </w:r>
    </w:p>
    <w:p>
      <w:pPr>
        <w:pStyle w:val="Heading2"/>
      </w:pPr>
      <w:r>
        <w:t>BELVEDERE-DOC-003 | extrait cadastral fictif</w:t>
      </w:r>
    </w:p>
    <w:p>
      <w:pPr>
        <w:pStyle w:val="Caption"/>
        <w:keepNext/>
      </w:pPr>
      <w:r>
        <w:t>Fiche documentaire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  <w:tblBorders>
          <w:top w:val="single" w:sz="4" w:color="BCCBC1"/>
          <w:left w:val="single" w:sz="4" w:color="BCCBC1"/>
          <w:bottom w:val="single" w:sz="4" w:color="BCCBC1"/>
          <w:right w:val="single" w:sz="4" w:color="BCCBC1"/>
          <w:insideH w:val="single" w:sz="4" w:color="BCCBC1"/>
          <w:insideV w:val="single" w:sz="4" w:color="BCCBC1"/>
        </w:tblBorders>
      </w:tblPr>
      <w:tblGrid>
        <w:gridCol w:w="2160"/>
        <w:gridCol w:w="7200"/>
      </w:tblGrid>
      <w:tr>
        <w:trPr>
          <w:cantSplit/>
          <w:tblHeader/>
        </w:trPr>
        <w:tc>
          <w:tcPr>
            <w:tcW w:type="dxa" w:w="2160"/>
            <w:shd w:fill="E7EEE8"/>
          </w:tcPr>
          <w:p>
            <w:pPr>
              <w:spacing w:before="0" w:after="80" w:line="269" w:lineRule="auto"/>
            </w:pPr>
            <w:r>
              <w:rPr>
                <w:b/>
                <w:sz w:val="18"/>
              </w:rPr>
              <w:t>Champ</w:t>
            </w:r>
          </w:p>
        </w:tc>
        <w:tc>
          <w:tcPr>
            <w:tcW w:type="dxa" w:w="7200"/>
            <w:shd w:fill="E7EEE8"/>
          </w:tcPr>
          <w:p>
            <w:pPr>
              <w:spacing w:before="0" w:after="80" w:line="269" w:lineRule="auto"/>
            </w:pPr>
            <w:r>
              <w:rPr>
                <w:b/>
                <w:sz w:val="18"/>
              </w:rPr>
              <w:t>Information disponible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Auteur fictif</w:t>
            </w:r>
          </w:p>
        </w:tc>
        <w:tc>
          <w:tcPr>
            <w:tcW w:type="dxa" w:w="720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administration fictive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Date et version</w:t>
            </w:r>
          </w:p>
        </w:tc>
        <w:tc>
          <w:tcPr>
            <w:tcW w:type="dxa" w:w="720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2026-07-15 | extrait exercice v1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Objet et portée</w:t>
            </w:r>
          </w:p>
        </w:tc>
        <w:tc>
          <w:tcPr>
            <w:tcW w:type="dxa" w:w="720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parcelle fiscale fictive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État et situation</w:t>
            </w:r>
          </w:p>
        </w:tc>
        <w:tc>
          <w:tcPr>
            <w:tcW w:type="dxa" w:w="720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disponible. Il s’agit d’une représentation fiscale fictive.</w:t>
            </w:r>
          </w:p>
        </w:tc>
      </w:tr>
    </w:tbl>
    <w:p>
      <w:pPr>
        <w:keepNext/>
        <w:spacing w:before="100"/>
      </w:pPr>
      <w:r>
        <w:t>Qualification : cohérence, usage possible, limite et action à décider.</w:t>
      </w:r>
    </w:p>
    <w:p>
      <w:pPr>
        <w:spacing w:after="160" w:line="360" w:lineRule="exact"/>
        <w:pBdr>
          <w:bottom w:val="single" w:sz="2" w:color="BEC9C2"/>
        </w:pBdr>
      </w:pPr>
      <w:r>
        <w:t xml:space="preserve"> </w:t>
      </w:r>
    </w:p>
    <w:p>
      <w:pPr>
        <w:pStyle w:val="Heading2"/>
      </w:pPr>
      <w:r>
        <w:t>BELVEDERE-DOC-004 | règlement de copropriété fictif</w:t>
      </w:r>
    </w:p>
    <w:p>
      <w:pPr>
        <w:pStyle w:val="Caption"/>
        <w:keepNext/>
      </w:pPr>
      <w:r>
        <w:t>Fiche documentaire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  <w:tblBorders>
          <w:top w:val="single" w:sz="4" w:color="BCCBC1"/>
          <w:left w:val="single" w:sz="4" w:color="BCCBC1"/>
          <w:bottom w:val="single" w:sz="4" w:color="BCCBC1"/>
          <w:right w:val="single" w:sz="4" w:color="BCCBC1"/>
          <w:insideH w:val="single" w:sz="4" w:color="BCCBC1"/>
          <w:insideV w:val="single" w:sz="4" w:color="BCCBC1"/>
        </w:tblBorders>
      </w:tblPr>
      <w:tblGrid>
        <w:gridCol w:w="2160"/>
        <w:gridCol w:w="7200"/>
      </w:tblGrid>
      <w:tr>
        <w:trPr>
          <w:cantSplit/>
          <w:tblHeader/>
        </w:trPr>
        <w:tc>
          <w:tcPr>
            <w:tcW w:type="dxa" w:w="2160"/>
            <w:shd w:fill="E7EEE8"/>
          </w:tcPr>
          <w:p>
            <w:pPr>
              <w:spacing w:before="0" w:after="80" w:line="269" w:lineRule="auto"/>
            </w:pPr>
            <w:r>
              <w:rPr>
                <w:b/>
                <w:sz w:val="18"/>
              </w:rPr>
              <w:t>Champ</w:t>
            </w:r>
          </w:p>
        </w:tc>
        <w:tc>
          <w:tcPr>
            <w:tcW w:type="dxa" w:w="7200"/>
            <w:shd w:fill="E7EEE8"/>
          </w:tcPr>
          <w:p>
            <w:pPr>
              <w:spacing w:before="0" w:after="80" w:line="269" w:lineRule="auto"/>
            </w:pPr>
            <w:r>
              <w:rPr>
                <w:b/>
                <w:sz w:val="18"/>
              </w:rPr>
              <w:t>Information disponible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Auteur fictif</w:t>
            </w:r>
          </w:p>
        </w:tc>
        <w:tc>
          <w:tcPr>
            <w:tcW w:type="dxa" w:w="720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copropriété fictive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Date et version</w:t>
            </w:r>
          </w:p>
        </w:tc>
        <w:tc>
          <w:tcPr>
            <w:tcW w:type="dxa" w:w="720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1974-03-01 | copie partielle exercice v1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Objet et portée</w:t>
            </w:r>
          </w:p>
        </w:tc>
        <w:tc>
          <w:tcPr>
            <w:tcW w:type="dxa" w:w="720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organisation et lots de la copropriété fictive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État et situation</w:t>
            </w:r>
          </w:p>
        </w:tc>
        <w:tc>
          <w:tcPr>
            <w:tcW w:type="dxa" w:w="720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copie partielle. La copie mentionne un modificatif qui n’est pas fourni.</w:t>
            </w:r>
          </w:p>
        </w:tc>
      </w:tr>
    </w:tbl>
    <w:p>
      <w:pPr>
        <w:keepNext/>
        <w:spacing w:before="100"/>
      </w:pPr>
      <w:r>
        <w:t>Qualification : cohérence, usage possible, limite et action à décider.</w:t>
      </w:r>
    </w:p>
    <w:p>
      <w:pPr>
        <w:spacing w:after="160" w:line="360" w:lineRule="exact"/>
        <w:pBdr>
          <w:bottom w:val="single" w:sz="2" w:color="BEC9C2"/>
        </w:pBdr>
      </w:pPr>
      <w:r>
        <w:t xml:space="preserve"> </w:t>
      </w:r>
    </w:p>
    <w:p>
      <w:pPr>
        <w:pStyle w:val="Heading1"/>
        <w:pageBreakBefore/>
      </w:pPr>
      <w:r>
        <w:t>Dossier documentaire | 5 à 6</w:t>
      </w:r>
    </w:p>
    <w:p>
      <w:pPr>
        <w:pStyle w:val="Heading2"/>
      </w:pPr>
      <w:r>
        <w:t>BELVEDERE-DOC-005 | procès-verbaux fictifs</w:t>
      </w:r>
    </w:p>
    <w:p>
      <w:pPr>
        <w:pStyle w:val="Caption"/>
        <w:keepNext/>
      </w:pPr>
      <w:r>
        <w:t>Fiche documentaire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  <w:tblBorders>
          <w:top w:val="single" w:sz="4" w:color="BCCBC1"/>
          <w:left w:val="single" w:sz="4" w:color="BCCBC1"/>
          <w:bottom w:val="single" w:sz="4" w:color="BCCBC1"/>
          <w:right w:val="single" w:sz="4" w:color="BCCBC1"/>
          <w:insideH w:val="single" w:sz="4" w:color="BCCBC1"/>
          <w:insideV w:val="single" w:sz="4" w:color="BCCBC1"/>
        </w:tblBorders>
      </w:tblPr>
      <w:tblGrid>
        <w:gridCol w:w="2160"/>
        <w:gridCol w:w="7200"/>
      </w:tblGrid>
      <w:tr>
        <w:trPr>
          <w:cantSplit/>
          <w:tblHeader/>
        </w:trPr>
        <w:tc>
          <w:tcPr>
            <w:tcW w:type="dxa" w:w="2160"/>
            <w:shd w:fill="E7EEE8"/>
          </w:tcPr>
          <w:p>
            <w:pPr>
              <w:spacing w:before="0" w:after="80" w:line="269" w:lineRule="auto"/>
            </w:pPr>
            <w:r>
              <w:rPr>
                <w:b/>
                <w:sz w:val="18"/>
              </w:rPr>
              <w:t>Champ</w:t>
            </w:r>
          </w:p>
        </w:tc>
        <w:tc>
          <w:tcPr>
            <w:tcW w:type="dxa" w:w="7200"/>
            <w:shd w:fill="E7EEE8"/>
          </w:tcPr>
          <w:p>
            <w:pPr>
              <w:spacing w:before="0" w:after="80" w:line="269" w:lineRule="auto"/>
            </w:pPr>
            <w:r>
              <w:rPr>
                <w:b/>
                <w:sz w:val="18"/>
              </w:rPr>
              <w:t>Information disponible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Auteur fictif</w:t>
            </w:r>
          </w:p>
        </w:tc>
        <w:tc>
          <w:tcPr>
            <w:tcW w:type="dxa" w:w="720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syndic fictif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Date et version</w:t>
            </w:r>
          </w:p>
        </w:tc>
        <w:tc>
          <w:tcPr>
            <w:tcW w:type="dxa" w:w="720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2024 et 2026 | deux sur trois exercices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Objet et portée</w:t>
            </w:r>
          </w:p>
        </w:tc>
        <w:tc>
          <w:tcPr>
            <w:tcW w:type="dxa" w:w="720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décisions de copropriété d'exercice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État et situation</w:t>
            </w:r>
          </w:p>
        </w:tc>
        <w:tc>
          <w:tcPr>
            <w:tcW w:type="dxa" w:w="720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deux exercices sur trois disponibles. Seuls 2024 et 2026 sont disponibles. Le vote de façade n’est connu que par un résumé sans résolution complète.</w:t>
            </w:r>
          </w:p>
        </w:tc>
      </w:tr>
    </w:tbl>
    <w:p>
      <w:pPr>
        <w:keepNext/>
        <w:spacing w:before="100"/>
      </w:pPr>
      <w:r>
        <w:t>Qualification : cohérence, usage possible, limite et action à décider.</w:t>
      </w:r>
    </w:p>
    <w:p>
      <w:pPr>
        <w:spacing w:after="160" w:line="360" w:lineRule="exact"/>
        <w:pBdr>
          <w:bottom w:val="single" w:sz="2" w:color="BEC9C2"/>
        </w:pBdr>
      </w:pPr>
      <w:r>
        <w:t xml:space="preserve"> </w:t>
      </w:r>
    </w:p>
    <w:p>
      <w:pPr>
        <w:pStyle w:val="Heading2"/>
      </w:pPr>
      <w:r>
        <w:t>BELVEDERE-DOC-006 | DDT fictif</w:t>
      </w:r>
    </w:p>
    <w:p>
      <w:pPr>
        <w:pStyle w:val="Caption"/>
        <w:keepNext/>
      </w:pPr>
      <w:r>
        <w:t>Fiche documentaire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  <w:tblBorders>
          <w:top w:val="single" w:sz="4" w:color="BCCBC1"/>
          <w:left w:val="single" w:sz="4" w:color="BCCBC1"/>
          <w:bottom w:val="single" w:sz="4" w:color="BCCBC1"/>
          <w:right w:val="single" w:sz="4" w:color="BCCBC1"/>
          <w:insideH w:val="single" w:sz="4" w:color="BCCBC1"/>
          <w:insideV w:val="single" w:sz="4" w:color="BCCBC1"/>
        </w:tblBorders>
      </w:tblPr>
      <w:tblGrid>
        <w:gridCol w:w="2160"/>
        <w:gridCol w:w="7200"/>
      </w:tblGrid>
      <w:tr>
        <w:trPr>
          <w:cantSplit/>
          <w:tblHeader/>
        </w:trPr>
        <w:tc>
          <w:tcPr>
            <w:tcW w:type="dxa" w:w="2160"/>
            <w:shd w:fill="E7EEE8"/>
          </w:tcPr>
          <w:p>
            <w:pPr>
              <w:spacing w:before="0" w:after="80" w:line="269" w:lineRule="auto"/>
            </w:pPr>
            <w:r>
              <w:rPr>
                <w:b/>
                <w:sz w:val="18"/>
              </w:rPr>
              <w:t>Champ</w:t>
            </w:r>
          </w:p>
        </w:tc>
        <w:tc>
          <w:tcPr>
            <w:tcW w:type="dxa" w:w="7200"/>
            <w:shd w:fill="E7EEE8"/>
          </w:tcPr>
          <w:p>
            <w:pPr>
              <w:spacing w:before="0" w:after="80" w:line="269" w:lineRule="auto"/>
            </w:pPr>
            <w:r>
              <w:rPr>
                <w:b/>
                <w:sz w:val="18"/>
              </w:rPr>
              <w:t>Information disponible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Auteur fictif</w:t>
            </w:r>
          </w:p>
        </w:tc>
        <w:tc>
          <w:tcPr>
            <w:tcW w:type="dxa" w:w="720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diagnostiqueurs fictifs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Date et version</w:t>
            </w:r>
          </w:p>
        </w:tc>
        <w:tc>
          <w:tcPr>
            <w:tcW w:type="dxa" w:w="720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dates hétérogènes | dossier exercice v1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Objet et portée</w:t>
            </w:r>
          </w:p>
        </w:tc>
        <w:tc>
          <w:tcPr>
            <w:tcW w:type="dxa" w:w="720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pièces diagnostiques d'exercice aux champs distincts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État et situation</w:t>
            </w:r>
          </w:p>
        </w:tc>
        <w:tc>
          <w:tcPr>
            <w:tcW w:type="dxa" w:w="720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disponible, champs à qualifier. Les dates, lots et champs des pièces sont hétérogènes.</w:t>
            </w:r>
          </w:p>
        </w:tc>
      </w:tr>
    </w:tbl>
    <w:p>
      <w:pPr>
        <w:keepNext/>
        <w:spacing w:before="100"/>
      </w:pPr>
      <w:r>
        <w:t>Qualification : cohérence, usage possible, limite et action à décider.</w:t>
      </w:r>
    </w:p>
    <w:p>
      <w:pPr>
        <w:spacing w:after="160" w:line="360" w:lineRule="exact"/>
        <w:pBdr>
          <w:bottom w:val="single" w:sz="2" w:color="BEC9C2"/>
        </w:pBdr>
      </w:pPr>
      <w:r>
        <w:t xml:space="preserve"> </w:t>
      </w:r>
    </w:p>
    <w:p>
      <w:pPr>
        <w:pStyle w:val="Heading1"/>
        <w:pageBreakBefore/>
      </w:pPr>
      <w:r>
        <w:t>Dossier documentaire | 7 à 8</w:t>
      </w:r>
    </w:p>
    <w:p>
      <w:pPr>
        <w:pStyle w:val="Heading2"/>
      </w:pPr>
      <w:r>
        <w:t>BELVEDERE-DOC-007 | état des risques fictif</w:t>
      </w:r>
    </w:p>
    <w:p>
      <w:pPr>
        <w:pStyle w:val="Caption"/>
        <w:keepNext/>
      </w:pPr>
      <w:r>
        <w:t>Fiche documentaire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  <w:tblBorders>
          <w:top w:val="single" w:sz="4" w:color="BCCBC1"/>
          <w:left w:val="single" w:sz="4" w:color="BCCBC1"/>
          <w:bottom w:val="single" w:sz="4" w:color="BCCBC1"/>
          <w:right w:val="single" w:sz="4" w:color="BCCBC1"/>
          <w:insideH w:val="single" w:sz="4" w:color="BCCBC1"/>
          <w:insideV w:val="single" w:sz="4" w:color="BCCBC1"/>
        </w:tblBorders>
      </w:tblPr>
      <w:tblGrid>
        <w:gridCol w:w="2160"/>
        <w:gridCol w:w="7200"/>
      </w:tblGrid>
      <w:tr>
        <w:trPr>
          <w:cantSplit/>
          <w:tblHeader/>
        </w:trPr>
        <w:tc>
          <w:tcPr>
            <w:tcW w:type="dxa" w:w="2160"/>
            <w:shd w:fill="E7EEE8"/>
          </w:tcPr>
          <w:p>
            <w:pPr>
              <w:spacing w:before="0" w:after="80" w:line="269" w:lineRule="auto"/>
            </w:pPr>
            <w:r>
              <w:rPr>
                <w:b/>
                <w:sz w:val="18"/>
              </w:rPr>
              <w:t>Champ</w:t>
            </w:r>
          </w:p>
        </w:tc>
        <w:tc>
          <w:tcPr>
            <w:tcW w:type="dxa" w:w="7200"/>
            <w:shd w:fill="E7EEE8"/>
          </w:tcPr>
          <w:p>
            <w:pPr>
              <w:spacing w:before="0" w:after="80" w:line="269" w:lineRule="auto"/>
            </w:pPr>
            <w:r>
              <w:rPr>
                <w:b/>
                <w:sz w:val="18"/>
              </w:rPr>
              <w:t>Information disponible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Auteur fictif</w:t>
            </w:r>
          </w:p>
        </w:tc>
        <w:tc>
          <w:tcPr>
            <w:tcW w:type="dxa" w:w="720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propriétaire fictif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Date et version</w:t>
            </w:r>
          </w:p>
        </w:tc>
        <w:tc>
          <w:tcPr>
            <w:tcW w:type="dxa" w:w="720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2025-05-10 | ancienne version exercice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Objet et portée</w:t>
            </w:r>
          </w:p>
        </w:tc>
        <w:tc>
          <w:tcPr>
            <w:tcW w:type="dxa" w:w="720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information sur les risques dans son champ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État et situation</w:t>
            </w:r>
          </w:p>
        </w:tc>
        <w:tc>
          <w:tcPr>
            <w:tcW w:type="dxa" w:w="720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ancien au regard du scénario. La date précède la décision et les signatures envisagées.</w:t>
            </w:r>
          </w:p>
        </w:tc>
      </w:tr>
    </w:tbl>
    <w:p>
      <w:pPr>
        <w:keepNext/>
        <w:spacing w:before="100"/>
      </w:pPr>
      <w:r>
        <w:t>Qualification : cohérence, usage possible, limite et action à décider.</w:t>
      </w:r>
    </w:p>
    <w:p>
      <w:pPr>
        <w:spacing w:after="160" w:line="360" w:lineRule="exact"/>
        <w:pBdr>
          <w:bottom w:val="single" w:sz="2" w:color="BEC9C2"/>
        </w:pBdr>
      </w:pPr>
      <w:r>
        <w:t xml:space="preserve"> </w:t>
      </w:r>
    </w:p>
    <w:p>
      <w:pPr>
        <w:pStyle w:val="Heading2"/>
      </w:pPr>
      <w:r>
        <w:t>BELVEDERE-DOC-008 | six données de transaction fictives</w:t>
      </w:r>
    </w:p>
    <w:p>
      <w:pPr>
        <w:pStyle w:val="Caption"/>
        <w:keepNext/>
      </w:pPr>
      <w:r>
        <w:t>Fiche documentaire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  <w:tblBorders>
          <w:top w:val="single" w:sz="4" w:color="BCCBC1"/>
          <w:left w:val="single" w:sz="4" w:color="BCCBC1"/>
          <w:bottom w:val="single" w:sz="4" w:color="BCCBC1"/>
          <w:right w:val="single" w:sz="4" w:color="BCCBC1"/>
          <w:insideH w:val="single" w:sz="4" w:color="BCCBC1"/>
          <w:insideV w:val="single" w:sz="4" w:color="BCCBC1"/>
        </w:tblBorders>
      </w:tblPr>
      <w:tblGrid>
        <w:gridCol w:w="2160"/>
        <w:gridCol w:w="7200"/>
      </w:tblGrid>
      <w:tr>
        <w:trPr>
          <w:cantSplit/>
          <w:tblHeader/>
        </w:trPr>
        <w:tc>
          <w:tcPr>
            <w:tcW w:type="dxa" w:w="2160"/>
            <w:shd w:fill="E7EEE8"/>
          </w:tcPr>
          <w:p>
            <w:pPr>
              <w:spacing w:before="0" w:after="80" w:line="269" w:lineRule="auto"/>
            </w:pPr>
            <w:r>
              <w:rPr>
                <w:b/>
                <w:sz w:val="18"/>
              </w:rPr>
              <w:t>Champ</w:t>
            </w:r>
          </w:p>
        </w:tc>
        <w:tc>
          <w:tcPr>
            <w:tcW w:type="dxa" w:w="7200"/>
            <w:shd w:fill="E7EEE8"/>
          </w:tcPr>
          <w:p>
            <w:pPr>
              <w:spacing w:before="0" w:after="80" w:line="269" w:lineRule="auto"/>
            </w:pPr>
            <w:r>
              <w:rPr>
                <w:b/>
                <w:sz w:val="18"/>
              </w:rPr>
              <w:t>Information disponible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Auteur fictif</w:t>
            </w:r>
          </w:p>
        </w:tc>
        <w:tc>
          <w:tcPr>
            <w:tcW w:type="dxa" w:w="720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jeu pédagogique IEB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Date et version</w:t>
            </w:r>
          </w:p>
        </w:tc>
        <w:tc>
          <w:tcPr>
            <w:tcW w:type="dxa" w:w="720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dates relatives | jeu exercice v1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Objet et portée</w:t>
            </w:r>
          </w:p>
        </w:tc>
        <w:tc>
          <w:tcPr>
            <w:tcW w:type="dxa" w:w="720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entraînement à la qualification de comparables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État et situation</w:t>
            </w:r>
          </w:p>
        </w:tc>
        <w:tc>
          <w:tcPr>
            <w:tcW w:type="dxa" w:w="720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six lignes fictives. Les six lignes sont reproduites dans les fiches de référence suivantes.</w:t>
            </w:r>
          </w:p>
        </w:tc>
      </w:tr>
    </w:tbl>
    <w:p>
      <w:pPr>
        <w:keepNext/>
        <w:spacing w:before="100"/>
      </w:pPr>
      <w:r>
        <w:t>Qualification : cohérence, usage possible, limite et action à décider.</w:t>
      </w:r>
    </w:p>
    <w:p>
      <w:pPr>
        <w:spacing w:after="160" w:line="360" w:lineRule="exact"/>
        <w:pBdr>
          <w:bottom w:val="single" w:sz="2" w:color="BEC9C2"/>
        </w:pBdr>
      </w:pPr>
      <w:r>
        <w:t xml:space="preserve"> </w:t>
      </w:r>
    </w:p>
    <w:p>
      <w:pPr>
        <w:pStyle w:val="Heading1"/>
        <w:pageBreakBefore/>
      </w:pPr>
      <w:r>
        <w:t>Dossier documentaire | 9 à 10</w:t>
      </w:r>
    </w:p>
    <w:p>
      <w:pPr>
        <w:pStyle w:val="Heading2"/>
      </w:pPr>
      <w:r>
        <w:t>BELVEDERE-DOC-009 | fiche synthétique de copropriété fictive</w:t>
      </w:r>
    </w:p>
    <w:p>
      <w:pPr>
        <w:pStyle w:val="Caption"/>
        <w:keepNext/>
      </w:pPr>
      <w:r>
        <w:t>Fiche documentaire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  <w:tblBorders>
          <w:top w:val="single" w:sz="4" w:color="BCCBC1"/>
          <w:left w:val="single" w:sz="4" w:color="BCCBC1"/>
          <w:bottom w:val="single" w:sz="4" w:color="BCCBC1"/>
          <w:right w:val="single" w:sz="4" w:color="BCCBC1"/>
          <w:insideH w:val="single" w:sz="4" w:color="BCCBC1"/>
          <w:insideV w:val="single" w:sz="4" w:color="BCCBC1"/>
        </w:tblBorders>
      </w:tblPr>
      <w:tblGrid>
        <w:gridCol w:w="2160"/>
        <w:gridCol w:w="7200"/>
      </w:tblGrid>
      <w:tr>
        <w:trPr>
          <w:cantSplit/>
          <w:tblHeader/>
        </w:trPr>
        <w:tc>
          <w:tcPr>
            <w:tcW w:type="dxa" w:w="2160"/>
            <w:shd w:fill="E7EEE8"/>
          </w:tcPr>
          <w:p>
            <w:pPr>
              <w:spacing w:before="0" w:after="80" w:line="269" w:lineRule="auto"/>
            </w:pPr>
            <w:r>
              <w:rPr>
                <w:b/>
                <w:sz w:val="18"/>
              </w:rPr>
              <w:t>Champ</w:t>
            </w:r>
          </w:p>
        </w:tc>
        <w:tc>
          <w:tcPr>
            <w:tcW w:type="dxa" w:w="7200"/>
            <w:shd w:fill="E7EEE8"/>
          </w:tcPr>
          <w:p>
            <w:pPr>
              <w:spacing w:before="0" w:after="80" w:line="269" w:lineRule="auto"/>
            </w:pPr>
            <w:r>
              <w:rPr>
                <w:b/>
                <w:sz w:val="18"/>
              </w:rPr>
              <w:t>Information disponible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Auteur fictif</w:t>
            </w:r>
          </w:p>
        </w:tc>
        <w:tc>
          <w:tcPr>
            <w:tcW w:type="dxa" w:w="720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syndic fictif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Date et version</w:t>
            </w:r>
          </w:p>
        </w:tc>
        <w:tc>
          <w:tcPr>
            <w:tcW w:type="dxa" w:w="720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2026-06-30 | fiche exercice v1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Objet et portée</w:t>
            </w:r>
          </w:p>
        </w:tc>
        <w:tc>
          <w:tcPr>
            <w:tcW w:type="dxa" w:w="720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organisation, technique et finances d'exercice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État et situation</w:t>
            </w:r>
          </w:p>
        </w:tc>
        <w:tc>
          <w:tcPr>
            <w:tcW w:type="dxa" w:w="720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disponible avec annexe manquante. Des données financières agrégées sont évoquées, mais la quote-part du lot et l’annexe nécessaire ne sont pas fournies.</w:t>
            </w:r>
          </w:p>
        </w:tc>
      </w:tr>
    </w:tbl>
    <w:p>
      <w:pPr>
        <w:keepNext/>
        <w:spacing w:before="100"/>
      </w:pPr>
      <w:r>
        <w:t>Qualification : cohérence, usage possible, limite et action à décider.</w:t>
      </w:r>
    </w:p>
    <w:p>
      <w:pPr>
        <w:spacing w:after="160" w:line="360" w:lineRule="exact"/>
        <w:pBdr>
          <w:bottom w:val="single" w:sz="2" w:color="BEC9C2"/>
        </w:pBdr>
      </w:pPr>
      <w:r>
        <w:t xml:space="preserve"> </w:t>
      </w:r>
    </w:p>
    <w:p>
      <w:pPr>
        <w:pStyle w:val="Heading2"/>
      </w:pPr>
      <w:r>
        <w:t>BELVEDERE-DOC-010 | carnet d'entretien fictif</w:t>
      </w:r>
    </w:p>
    <w:p>
      <w:pPr>
        <w:pStyle w:val="Caption"/>
        <w:keepNext/>
      </w:pPr>
      <w:r>
        <w:t>Fiche documentaire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  <w:tblBorders>
          <w:top w:val="single" w:sz="4" w:color="BCCBC1"/>
          <w:left w:val="single" w:sz="4" w:color="BCCBC1"/>
          <w:bottom w:val="single" w:sz="4" w:color="BCCBC1"/>
          <w:right w:val="single" w:sz="4" w:color="BCCBC1"/>
          <w:insideH w:val="single" w:sz="4" w:color="BCCBC1"/>
          <w:insideV w:val="single" w:sz="4" w:color="BCCBC1"/>
        </w:tblBorders>
      </w:tblPr>
      <w:tblGrid>
        <w:gridCol w:w="2160"/>
        <w:gridCol w:w="7200"/>
      </w:tblGrid>
      <w:tr>
        <w:trPr>
          <w:cantSplit/>
          <w:tblHeader/>
        </w:trPr>
        <w:tc>
          <w:tcPr>
            <w:tcW w:type="dxa" w:w="2160"/>
            <w:shd w:fill="E7EEE8"/>
          </w:tcPr>
          <w:p>
            <w:pPr>
              <w:spacing w:before="0" w:after="80" w:line="269" w:lineRule="auto"/>
            </w:pPr>
            <w:r>
              <w:rPr>
                <w:b/>
                <w:sz w:val="18"/>
              </w:rPr>
              <w:t>Champ</w:t>
            </w:r>
          </w:p>
        </w:tc>
        <w:tc>
          <w:tcPr>
            <w:tcW w:type="dxa" w:w="7200"/>
            <w:shd w:fill="E7EEE8"/>
          </w:tcPr>
          <w:p>
            <w:pPr>
              <w:spacing w:before="0" w:after="80" w:line="269" w:lineRule="auto"/>
            </w:pPr>
            <w:r>
              <w:rPr>
                <w:b/>
                <w:sz w:val="18"/>
              </w:rPr>
              <w:t>Information disponible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Auteur fictif</w:t>
            </w:r>
          </w:p>
        </w:tc>
        <w:tc>
          <w:tcPr>
            <w:tcW w:type="dxa" w:w="720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syndic fictif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Date et version</w:t>
            </w:r>
          </w:p>
        </w:tc>
        <w:tc>
          <w:tcPr>
            <w:tcW w:type="dxa" w:w="720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2026-02-01 | carnet exercice v1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Objet et portée</w:t>
            </w:r>
          </w:p>
        </w:tc>
        <w:tc>
          <w:tcPr>
            <w:tcW w:type="dxa" w:w="720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historique d'entretien commun d'exercice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État et situation</w:t>
            </w:r>
          </w:p>
        </w:tc>
        <w:tc>
          <w:tcPr>
            <w:tcW w:type="dxa" w:w="720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copie partielle. L’historique est partiel et ne précise pas les questions de façade et de chaufferie.</w:t>
            </w:r>
          </w:p>
        </w:tc>
      </w:tr>
    </w:tbl>
    <w:p>
      <w:pPr>
        <w:keepNext/>
        <w:spacing w:before="100"/>
      </w:pPr>
      <w:r>
        <w:t>Qualification : cohérence, usage possible, limite et action à décider.</w:t>
      </w:r>
    </w:p>
    <w:p>
      <w:pPr>
        <w:spacing w:after="160" w:line="360" w:lineRule="exact"/>
        <w:pBdr>
          <w:bottom w:val="single" w:sz="2" w:color="BEC9C2"/>
        </w:pBdr>
      </w:pPr>
      <w:r>
        <w:t xml:space="preserve"> </w:t>
      </w:r>
    </w:p>
    <w:p>
      <w:pPr>
        <w:pStyle w:val="Heading1"/>
        <w:pageBreakBefore/>
      </w:pPr>
      <w:r>
        <w:t>Les cinq informations à compléter</w:t>
      </w:r>
    </w:p>
    <w:p>
      <w:pPr/>
      <w:r>
        <w:t>Le dossier fournit les constats d’absence ci-dessous. Décidez dans le carnet comment ils affectent la mission et qui peut les résoudre.</w:t>
      </w:r>
    </w:p>
    <w:p>
      <w:pPr/>
      <w:r>
        <w:t>BELVEDERE-MISS-001 | modificatif publié de l'état descriptif.</w:t>
      </w:r>
    </w:p>
    <w:p>
      <w:pPr/>
      <w:r>
        <w:t>BELVEDERE-MISS-002 | procès-verbal et annexes de l'exercice manquant.</w:t>
      </w:r>
    </w:p>
    <w:p>
      <w:pPr/>
      <w:r>
        <w:t>BELVEDERE-MISS-003 | qualification de l'auréole et de son historique.</w:t>
      </w:r>
    </w:p>
    <w:p>
      <w:pPr/>
      <w:r>
        <w:t>BELVEDERE-MISS-004 | conditions détaillées des quatre références candidates.</w:t>
      </w:r>
    </w:p>
    <w:p>
      <w:pPr/>
      <w:r>
        <w:t>BELVEDERE-MISS-005 | état des risques actualisé.</w:t>
      </w:r>
    </w:p>
    <w:p>
      <w:pPr>
        <w:pStyle w:val="Heading1"/>
        <w:pageBreakBefore/>
      </w:pPr>
      <w:r>
        <w:t>Visite | Accès et constats</w:t>
      </w:r>
    </w:p>
    <w:p>
      <w:pPr/>
      <w:r>
        <w:t>Source : BELVEDERE-VISIT-001, visite fictive du 25 août 2026. Ordre : entrée, séjour, chambres, menuiseries et balcon, cave, hall et cage d’escalier.</w:t>
      </w:r>
    </w:p>
    <w:p>
      <w:pPr>
        <w:pStyle w:val="Caption"/>
        <w:keepNext/>
      </w:pPr>
      <w:r>
        <w:t>Les huit zones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  <w:tblBorders>
          <w:top w:val="single" w:sz="4" w:color="BCCBC1"/>
          <w:left w:val="single" w:sz="4" w:color="BCCBC1"/>
          <w:bottom w:val="single" w:sz="4" w:color="BCCBC1"/>
          <w:right w:val="single" w:sz="4" w:color="BCCBC1"/>
          <w:insideH w:val="single" w:sz="4" w:color="BCCBC1"/>
          <w:insideV w:val="single" w:sz="4" w:color="BCCBC1"/>
        </w:tblBorders>
      </w:tblPr>
      <w:tblGrid>
        <w:gridCol w:w="2592"/>
        <w:gridCol w:w="1440"/>
        <w:gridCol w:w="5328"/>
      </w:tblGrid>
      <w:tr>
        <w:trPr>
          <w:cantSplit/>
          <w:tblHeader/>
        </w:trPr>
        <w:tc>
          <w:tcPr>
            <w:tcW w:type="dxa" w:w="2592"/>
            <w:shd w:fill="E7EEE8"/>
          </w:tcPr>
          <w:p>
            <w:pPr>
              <w:spacing w:before="0" w:after="80" w:line="269" w:lineRule="auto"/>
            </w:pPr>
            <w:r>
              <w:rPr>
                <w:b/>
                <w:sz w:val="18"/>
              </w:rPr>
              <w:t>Zone</w:t>
            </w:r>
          </w:p>
        </w:tc>
        <w:tc>
          <w:tcPr>
            <w:tcW w:type="dxa" w:w="1440"/>
            <w:shd w:fill="E7EEE8"/>
          </w:tcPr>
          <w:p>
            <w:pPr>
              <w:spacing w:before="0" w:after="80" w:line="269" w:lineRule="auto"/>
            </w:pPr>
            <w:r>
              <w:rPr>
                <w:b/>
                <w:sz w:val="18"/>
              </w:rPr>
              <w:t>Accès</w:t>
            </w:r>
          </w:p>
        </w:tc>
        <w:tc>
          <w:tcPr>
            <w:tcW w:type="dxa" w:w="5328"/>
            <w:shd w:fill="E7EEE8"/>
          </w:tcPr>
          <w:p>
            <w:pPr>
              <w:spacing w:before="0" w:after="80" w:line="269" w:lineRule="auto"/>
            </w:pPr>
            <w:r>
              <w:rPr>
                <w:b/>
                <w:sz w:val="18"/>
              </w:rPr>
              <w:t>Limite</w:t>
            </w:r>
          </w:p>
        </w:tc>
      </w:tr>
      <w:tr>
        <w:trPr>
          <w:cantSplit/>
        </w:trPr>
        <w:tc>
          <w:tcPr>
            <w:tcW w:type="dxa" w:w="2592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pièces privatives</w:t>
            </w:r>
          </w:p>
        </w:tc>
        <w:tc>
          <w:tcPr>
            <w:tcW w:type="dxa" w:w="144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Visité</w:t>
            </w:r>
          </w:p>
        </w:tc>
        <w:tc>
          <w:tcPr>
            <w:tcW w:type="dxa" w:w="5328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aucune ouverture d'habillage ni sondage</w:t>
            </w:r>
          </w:p>
        </w:tc>
      </w:tr>
      <w:tr>
        <w:trPr>
          <w:cantSplit/>
        </w:trPr>
        <w:tc>
          <w:tcPr>
            <w:tcW w:type="dxa" w:w="2592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balcon fictif</w:t>
            </w:r>
          </w:p>
        </w:tc>
        <w:tc>
          <w:tcPr>
            <w:tcW w:type="dxa" w:w="144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Visité</w:t>
            </w:r>
          </w:p>
        </w:tc>
        <w:tc>
          <w:tcPr>
            <w:tcW w:type="dxa" w:w="5328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support, étanchéité et responsabilité non déterminés</w:t>
            </w:r>
          </w:p>
        </w:tc>
      </w:tr>
      <w:tr>
        <w:trPr>
          <w:cantSplit/>
        </w:trPr>
        <w:tc>
          <w:tcPr>
            <w:tcW w:type="dxa" w:w="2592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cave fictive</w:t>
            </w:r>
          </w:p>
        </w:tc>
        <w:tc>
          <w:tcPr>
            <w:tcW w:type="dxa" w:w="144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Visité</w:t>
            </w:r>
          </w:p>
        </w:tc>
        <w:tc>
          <w:tcPr>
            <w:tcW w:type="dxa" w:w="5328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aucune généralisation aux autres caves</w:t>
            </w:r>
          </w:p>
        </w:tc>
      </w:tr>
      <w:tr>
        <w:trPr>
          <w:cantSplit/>
        </w:trPr>
        <w:tc>
          <w:tcPr>
            <w:tcW w:type="dxa" w:w="2592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hall et cage d'escalier fictifs</w:t>
            </w:r>
          </w:p>
        </w:tc>
        <w:tc>
          <w:tcPr>
            <w:tcW w:type="dxa" w:w="144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Visité</w:t>
            </w:r>
          </w:p>
        </w:tc>
        <w:tc>
          <w:tcPr>
            <w:tcW w:type="dxa" w:w="5328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ne remplace pas les pièces techniques de copropriété</w:t>
            </w:r>
          </w:p>
        </w:tc>
      </w:tr>
      <w:tr>
        <w:trPr>
          <w:cantSplit/>
        </w:trPr>
        <w:tc>
          <w:tcPr>
            <w:tcW w:type="dxa" w:w="2592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toiture</w:t>
            </w:r>
          </w:p>
        </w:tc>
        <w:tc>
          <w:tcPr>
            <w:tcW w:type="dxa" w:w="144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Non visité</w:t>
            </w:r>
          </w:p>
        </w:tc>
        <w:tc>
          <w:tcPr>
            <w:tcW w:type="dxa" w:w="5328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aucune conclusion sur la toiture</w:t>
            </w:r>
          </w:p>
        </w:tc>
      </w:tr>
      <w:tr>
        <w:trPr>
          <w:cantSplit/>
        </w:trPr>
        <w:tc>
          <w:tcPr>
            <w:tcW w:type="dxa" w:w="2592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local chaufferie</w:t>
            </w:r>
          </w:p>
        </w:tc>
        <w:tc>
          <w:tcPr>
            <w:tcW w:type="dxa" w:w="144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Non visité</w:t>
            </w:r>
          </w:p>
        </w:tc>
        <w:tc>
          <w:tcPr>
            <w:tcW w:type="dxa" w:w="5328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aucune conclusion sur l'équipement collectif</w:t>
            </w:r>
          </w:p>
        </w:tc>
      </w:tr>
      <w:tr>
        <w:trPr>
          <w:cantSplit/>
        </w:trPr>
        <w:tc>
          <w:tcPr>
            <w:tcW w:type="dxa" w:w="2592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gaine technique derrière habillage</w:t>
            </w:r>
          </w:p>
        </w:tc>
        <w:tc>
          <w:tcPr>
            <w:tcW w:type="dxa" w:w="144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Non visité</w:t>
            </w:r>
          </w:p>
        </w:tc>
        <w:tc>
          <w:tcPr>
            <w:tcW w:type="dxa" w:w="5328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aucune investigation destructive autorisée</w:t>
            </w:r>
          </w:p>
        </w:tc>
      </w:tr>
      <w:tr>
        <w:trPr>
          <w:cantSplit/>
        </w:trPr>
        <w:tc>
          <w:tcPr>
            <w:tcW w:type="dxa" w:w="2592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logement voisin</w:t>
            </w:r>
          </w:p>
        </w:tc>
        <w:tc>
          <w:tcPr>
            <w:tcW w:type="dxa" w:w="144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Non visité</w:t>
            </w:r>
          </w:p>
        </w:tc>
        <w:tc>
          <w:tcPr>
            <w:tcW w:type="dxa" w:w="5328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aucune comparaison ou cause déduite</w:t>
            </w:r>
          </w:p>
        </w:tc>
      </w:tr>
    </w:tbl>
    <w:p>
      <w:pPr/>
      <w:r>
        <w:t>Références : A04-C003, A04-C004, A04-C005, A04-C006, A04-C023, A04-C024, A04-C025.</w:t>
      </w:r>
    </w:p>
    <w:p>
      <w:pPr>
        <w:pStyle w:val="Heading1"/>
        <w:pageBreakBefore/>
      </w:pPr>
      <w:r>
        <w:t>Visite | Énoncés à qualifier</w:t>
      </w:r>
    </w:p>
    <w:p>
      <w:pPr>
        <w:pStyle w:val="Heading2"/>
      </w:pPr>
      <w:r>
        <w:t>BELVEDERE-FSID-001</w:t>
      </w:r>
    </w:p>
    <w:p>
      <w:pPr/>
      <w:r>
        <w:t>auréole sèche visible en angle du séjour</w:t>
      </w:r>
    </w:p>
    <w:p>
      <w:pPr/>
      <w:r>
        <w:t>Source : BELVEDERE-VISIT-001 | Date fictive : 2026-08-25</w:t>
      </w:r>
    </w:p>
    <w:p>
      <w:pPr/>
      <w:r>
        <w:t>Limite de l’information disponible : origine, ancienneté, humidité résiduelle et évolution inconnues.</w:t>
      </w:r>
    </w:p>
    <w:p>
      <w:pPr>
        <w:pStyle w:val="Heading2"/>
      </w:pPr>
      <w:r>
        <w:t>BELVEDERE-FSID-002</w:t>
      </w:r>
    </w:p>
    <w:p>
      <w:pPr/>
      <w:r>
        <w:t>fissure fine visible sur une cloison</w:t>
      </w:r>
    </w:p>
    <w:p>
      <w:pPr/>
      <w:r>
        <w:t>Source : BELVEDERE-VISIT-001 | Date fictive : 2026-08-25</w:t>
      </w:r>
    </w:p>
    <w:p>
      <w:pPr/>
      <w:r>
        <w:t>Limite de l’information disponible : activité, profondeur, continuité et système non établis.</w:t>
      </w:r>
    </w:p>
    <w:p>
      <w:pPr>
        <w:pStyle w:val="Heading2"/>
      </w:pPr>
      <w:r>
        <w:t>BELVEDERE-FSID-003</w:t>
      </w:r>
    </w:p>
    <w:p>
      <w:pPr/>
      <w:r>
        <w:t>les menuiseries auraient des âges différents</w:t>
      </w:r>
    </w:p>
    <w:p>
      <w:pPr/>
      <w:r>
        <w:t>Source : déclaration fictive du propriétaire | Date fictive : 2026-08-25</w:t>
      </w:r>
    </w:p>
    <w:p>
      <w:pPr/>
      <w:r>
        <w:t>Limite de l’information disponible : factures, références et performances absentes.</w:t>
      </w:r>
    </w:p>
    <w:p>
      <w:pPr>
        <w:pStyle w:val="Heading1"/>
        <w:pageBreakBefore/>
      </w:pPr>
      <w:r>
        <w:t>Visite | Énoncés à qualifier (suite)</w:t>
      </w:r>
    </w:p>
    <w:p>
      <w:pPr>
        <w:pStyle w:val="Heading2"/>
      </w:pPr>
      <w:r>
        <w:t>BELVEDERE-FSID-004</w:t>
      </w:r>
    </w:p>
    <w:p>
      <w:pPr/>
      <w:r>
        <w:t>revêtement du balcon visiblement usé</w:t>
      </w:r>
    </w:p>
    <w:p>
      <w:pPr/>
      <w:r>
        <w:t>Source : BELVEDERE-VISIT-001 | Date fictive : 2026-08-25</w:t>
      </w:r>
    </w:p>
    <w:p>
      <w:pPr/>
      <w:r>
        <w:t>Limite de l’information disponible : support, étanchéité, parties et responsabilité non établis.</w:t>
      </w:r>
    </w:p>
    <w:p>
      <w:pPr>
        <w:pStyle w:val="Heading2"/>
      </w:pPr>
      <w:r>
        <w:t>BELVEDERE-FSID-005</w:t>
      </w:r>
    </w:p>
    <w:p>
      <w:pPr/>
      <w:r>
        <w:t>toiture non visitée</w:t>
      </w:r>
    </w:p>
    <w:p>
      <w:pPr/>
      <w:r>
        <w:t>Source : BELVEDERE-VISIT-001 | Date fictive : 2026-08-25</w:t>
      </w:r>
    </w:p>
    <w:p>
      <w:pPr/>
      <w:r>
        <w:t>Limite de l’information disponible : aucune observation directe disponible.</w:t>
      </w:r>
    </w:p>
    <w:p>
      <w:pPr>
        <w:pStyle w:val="Heading2"/>
      </w:pPr>
      <w:r>
        <w:t>BELVEDERE-FSID-006</w:t>
      </w:r>
    </w:p>
    <w:p>
      <w:pPr/>
      <w:r>
        <w:t>lot 42 dans le titre fictif et numéro 24 sur le plan commercial fictif</w:t>
      </w:r>
    </w:p>
    <w:p>
      <w:pPr/>
      <w:r>
        <w:t>Source : BELVEDERE-DOC-001 et BELVEDERE-DOC-002 | Date fictive : 2026-08-31</w:t>
      </w:r>
    </w:p>
    <w:p>
      <w:pPr/>
      <w:r>
        <w:t>Limite de l’information disponible : lien entre les deux documents non établi.</w:t>
      </w:r>
    </w:p>
    <w:p>
      <w:pPr>
        <w:pStyle w:val="Heading1"/>
        <w:pageBreakBefore/>
      </w:pPr>
      <w:r>
        <w:t>Références fictives | 1 et 2</w:t>
      </w:r>
    </w:p>
    <w:p>
      <w:pPr/>
      <w:r>
        <w:t>Jeu BELVEDERE-SYNTHETIC-MARKET-001. M désigne la date fictive du 31 août 2026. Aucun prix, lieu ou acte réel.</w:t>
      </w:r>
    </w:p>
    <w:p>
      <w:pPr>
        <w:pStyle w:val="Heading2"/>
      </w:pPr>
      <w:r>
        <w:t>BELVEDERE-COMP-01</w:t>
      </w:r>
    </w:p>
    <w:p>
      <w:pPr>
        <w:pStyle w:val="Caption"/>
        <w:keepNext/>
      </w:pPr>
      <w:r>
        <w:t>Fiche de référence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  <w:tblBorders>
          <w:top w:val="single" w:sz="4" w:color="BCCBC1"/>
          <w:left w:val="single" w:sz="4" w:color="BCCBC1"/>
          <w:bottom w:val="single" w:sz="4" w:color="BCCBC1"/>
          <w:right w:val="single" w:sz="4" w:color="BCCBC1"/>
          <w:insideH w:val="single" w:sz="4" w:color="BCCBC1"/>
          <w:insideV w:val="single" w:sz="4" w:color="BCCBC1"/>
        </w:tblBorders>
      </w:tblPr>
      <w:tblGrid>
        <w:gridCol w:w="2304"/>
        <w:gridCol w:w="7056"/>
      </w:tblGrid>
      <w:tr>
        <w:trPr>
          <w:cantSplit/>
          <w:tblHeader/>
        </w:trPr>
        <w:tc>
          <w:tcPr>
            <w:tcW w:type="dxa" w:w="2304"/>
            <w:shd w:fill="E7EEE8"/>
          </w:tcPr>
          <w:p>
            <w:pPr>
              <w:spacing w:before="0" w:after="80" w:line="269" w:lineRule="auto"/>
            </w:pPr>
            <w:r>
              <w:rPr>
                <w:b/>
                <w:sz w:val="18"/>
              </w:rPr>
              <w:t>Dimension</w:t>
            </w:r>
          </w:p>
        </w:tc>
        <w:tc>
          <w:tcPr>
            <w:tcW w:type="dxa" w:w="7056"/>
            <w:shd w:fill="E7EEE8"/>
          </w:tcPr>
          <w:p>
            <w:pPr>
              <w:spacing w:before="0" w:after="80" w:line="269" w:lineRule="auto"/>
            </w:pPr>
            <w:r>
              <w:rPr>
                <w:b/>
                <w:sz w:val="18"/>
              </w:rPr>
              <w:t>Donnée</w:t>
            </w:r>
          </w:p>
        </w:tc>
      </w:tr>
      <w:tr>
        <w:trPr>
          <w:cantSplit/>
        </w:trPr>
        <w:tc>
          <w:tcPr>
            <w:tcW w:type="dxa" w:w="2304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Usage, lieu, date</w:t>
            </w:r>
          </w:p>
        </w:tc>
        <w:tc>
          <w:tcPr>
            <w:tcW w:type="dxa" w:w="7056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appartement ; même quartier fictif ; M-3</w:t>
            </w:r>
          </w:p>
        </w:tc>
      </w:tr>
      <w:tr>
        <w:trPr>
          <w:cantSplit/>
        </w:trPr>
        <w:tc>
          <w:tcPr>
            <w:tcW w:type="dxa" w:w="2304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Bâtiment, étage</w:t>
            </w:r>
          </w:p>
        </w:tc>
        <w:tc>
          <w:tcPr>
            <w:tcW w:type="dxa" w:w="7056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bâtiment fictif comparable des années 1970 ; 3e étage, ascenseur fictif</w:t>
            </w:r>
          </w:p>
        </w:tc>
      </w:tr>
      <w:tr>
        <w:trPr>
          <w:cantSplit/>
        </w:trPr>
        <w:tc>
          <w:tcPr>
            <w:tcW w:type="dxa" w:w="2304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Surface et montant</w:t>
            </w:r>
          </w:p>
        </w:tc>
        <w:tc>
          <w:tcPr>
            <w:tcW w:type="dxa" w:w="7056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70,1 m² ; 318 000 UP</w:t>
            </w:r>
          </w:p>
        </w:tc>
      </w:tr>
      <w:tr>
        <w:trPr>
          <w:cantSplit/>
        </w:trPr>
        <w:tc>
          <w:tcPr>
            <w:tcW w:type="dxa" w:w="2304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État, occupation</w:t>
            </w:r>
          </w:p>
        </w:tc>
        <w:tc>
          <w:tcPr>
            <w:tcW w:type="dxa" w:w="7056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état intérieur détaillé absent ; libre dans le scénario</w:t>
            </w:r>
          </w:p>
        </w:tc>
      </w:tr>
      <w:tr>
        <w:trPr>
          <w:cantSplit/>
        </w:trPr>
        <w:tc>
          <w:tcPr>
            <w:tcW w:type="dxa" w:w="2304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Annexes, droits</w:t>
            </w:r>
          </w:p>
        </w:tc>
        <w:tc>
          <w:tcPr>
            <w:tcW w:type="dxa" w:w="7056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cave déclarée ; aucun droit de stationnement annoncé</w:t>
            </w:r>
          </w:p>
        </w:tc>
      </w:tr>
      <w:tr>
        <w:trPr>
          <w:cantSplit/>
        </w:trPr>
        <w:tc>
          <w:tcPr>
            <w:tcW w:type="dxa" w:w="2304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Copropriété, transaction</w:t>
            </w:r>
          </w:p>
        </w:tc>
        <w:tc>
          <w:tcPr>
            <w:tcW w:type="dxa" w:w="7056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information partielle ; vente fictive ordinaire supposée</w:t>
            </w:r>
          </w:p>
        </w:tc>
      </w:tr>
    </w:tbl>
    <w:p>
      <w:pPr>
        <w:pStyle w:val="Heading2"/>
      </w:pPr>
      <w:r>
        <w:t>BELVEDERE-COMP-02</w:t>
      </w:r>
    </w:p>
    <w:p>
      <w:pPr>
        <w:pStyle w:val="Caption"/>
        <w:keepNext/>
      </w:pPr>
      <w:r>
        <w:t>Fiche de référence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  <w:tblBorders>
          <w:top w:val="single" w:sz="4" w:color="BCCBC1"/>
          <w:left w:val="single" w:sz="4" w:color="BCCBC1"/>
          <w:bottom w:val="single" w:sz="4" w:color="BCCBC1"/>
          <w:right w:val="single" w:sz="4" w:color="BCCBC1"/>
          <w:insideH w:val="single" w:sz="4" w:color="BCCBC1"/>
          <w:insideV w:val="single" w:sz="4" w:color="BCCBC1"/>
        </w:tblBorders>
      </w:tblPr>
      <w:tblGrid>
        <w:gridCol w:w="2304"/>
        <w:gridCol w:w="7056"/>
      </w:tblGrid>
      <w:tr>
        <w:trPr>
          <w:cantSplit/>
          <w:tblHeader/>
        </w:trPr>
        <w:tc>
          <w:tcPr>
            <w:tcW w:type="dxa" w:w="2304"/>
            <w:shd w:fill="E7EEE8"/>
          </w:tcPr>
          <w:p>
            <w:pPr>
              <w:spacing w:before="0" w:after="80" w:line="269" w:lineRule="auto"/>
            </w:pPr>
            <w:r>
              <w:rPr>
                <w:b/>
                <w:sz w:val="18"/>
              </w:rPr>
              <w:t>Dimension</w:t>
            </w:r>
          </w:p>
        </w:tc>
        <w:tc>
          <w:tcPr>
            <w:tcW w:type="dxa" w:w="7056"/>
            <w:shd w:fill="E7EEE8"/>
          </w:tcPr>
          <w:p>
            <w:pPr>
              <w:spacing w:before="0" w:after="80" w:line="269" w:lineRule="auto"/>
            </w:pPr>
            <w:r>
              <w:rPr>
                <w:b/>
                <w:sz w:val="18"/>
              </w:rPr>
              <w:t>Donnée</w:t>
            </w:r>
          </w:p>
        </w:tc>
      </w:tr>
      <w:tr>
        <w:trPr>
          <w:cantSplit/>
        </w:trPr>
        <w:tc>
          <w:tcPr>
            <w:tcW w:type="dxa" w:w="2304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Usage, lieu, date</w:t>
            </w:r>
          </w:p>
        </w:tc>
        <w:tc>
          <w:tcPr>
            <w:tcW w:type="dxa" w:w="7056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appartement ; secteur fictif adjacent ; M-7</w:t>
            </w:r>
          </w:p>
        </w:tc>
      </w:tr>
      <w:tr>
        <w:trPr>
          <w:cantSplit/>
        </w:trPr>
        <w:tc>
          <w:tcPr>
            <w:tcW w:type="dxa" w:w="2304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Bâtiment, étage</w:t>
            </w:r>
          </w:p>
        </w:tc>
        <w:tc>
          <w:tcPr>
            <w:tcW w:type="dxa" w:w="7056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immeuble collectif fictif comparable ; 4e étage, ascenseur fictif</w:t>
            </w:r>
          </w:p>
        </w:tc>
      </w:tr>
      <w:tr>
        <w:trPr>
          <w:cantSplit/>
        </w:trPr>
        <w:tc>
          <w:tcPr>
            <w:tcW w:type="dxa" w:w="2304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Surface et montant</w:t>
            </w:r>
          </w:p>
        </w:tc>
        <w:tc>
          <w:tcPr>
            <w:tcW w:type="dxa" w:w="7056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66,8 m² ; 302 000 UP</w:t>
            </w:r>
          </w:p>
        </w:tc>
      </w:tr>
      <w:tr>
        <w:trPr>
          <w:cantSplit/>
        </w:trPr>
        <w:tc>
          <w:tcPr>
            <w:tcW w:type="dxa" w:w="2304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État, occupation</w:t>
            </w:r>
          </w:p>
        </w:tc>
        <w:tc>
          <w:tcPr>
            <w:tcW w:type="dxa" w:w="7056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état courant fictif ; libre dans le scénario</w:t>
            </w:r>
          </w:p>
        </w:tc>
      </w:tr>
      <w:tr>
        <w:trPr>
          <w:cantSplit/>
        </w:trPr>
        <w:tc>
          <w:tcPr>
            <w:tcW w:type="dxa" w:w="2304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Annexes, droits</w:t>
            </w:r>
          </w:p>
        </w:tc>
        <w:tc>
          <w:tcPr>
            <w:tcW w:type="dxa" w:w="7056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cave inconnue ; aucun droit de stationnement annoncé</w:t>
            </w:r>
          </w:p>
        </w:tc>
      </w:tr>
      <w:tr>
        <w:trPr>
          <w:cantSplit/>
        </w:trPr>
        <w:tc>
          <w:tcPr>
            <w:tcW w:type="dxa" w:w="2304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Copropriété, transaction</w:t>
            </w:r>
          </w:p>
        </w:tc>
        <w:tc>
          <w:tcPr>
            <w:tcW w:type="dxa" w:w="7056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travaux inconnus ; vente fictive ordinaire supposée</w:t>
            </w:r>
          </w:p>
        </w:tc>
      </w:tr>
    </w:tbl>
    <w:p>
      <w:pPr>
        <w:pStyle w:val="Heading1"/>
        <w:pageBreakBefore/>
      </w:pPr>
      <w:r>
        <w:t>Références fictives | 3 et 4</w:t>
      </w:r>
    </w:p>
    <w:p>
      <w:pPr/>
      <w:r>
        <w:t>Jeu BELVEDERE-SYNTHETIC-MARKET-001. M désigne la date fictive du 31 août 2026. Aucun prix, lieu ou acte réel.</w:t>
      </w:r>
    </w:p>
    <w:p>
      <w:pPr>
        <w:pStyle w:val="Heading2"/>
      </w:pPr>
      <w:r>
        <w:t>BELVEDERE-COMP-03</w:t>
      </w:r>
    </w:p>
    <w:p>
      <w:pPr>
        <w:pStyle w:val="Caption"/>
        <w:keepNext/>
      </w:pPr>
      <w:r>
        <w:t>Fiche de référence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  <w:tblBorders>
          <w:top w:val="single" w:sz="4" w:color="BCCBC1"/>
          <w:left w:val="single" w:sz="4" w:color="BCCBC1"/>
          <w:bottom w:val="single" w:sz="4" w:color="BCCBC1"/>
          <w:right w:val="single" w:sz="4" w:color="BCCBC1"/>
          <w:insideH w:val="single" w:sz="4" w:color="BCCBC1"/>
          <w:insideV w:val="single" w:sz="4" w:color="BCCBC1"/>
        </w:tblBorders>
      </w:tblPr>
      <w:tblGrid>
        <w:gridCol w:w="2304"/>
        <w:gridCol w:w="7056"/>
      </w:tblGrid>
      <w:tr>
        <w:trPr>
          <w:cantSplit/>
          <w:tblHeader/>
        </w:trPr>
        <w:tc>
          <w:tcPr>
            <w:tcW w:type="dxa" w:w="2304"/>
            <w:shd w:fill="E7EEE8"/>
          </w:tcPr>
          <w:p>
            <w:pPr>
              <w:spacing w:before="0" w:after="80" w:line="269" w:lineRule="auto"/>
            </w:pPr>
            <w:r>
              <w:rPr>
                <w:b/>
                <w:sz w:val="18"/>
              </w:rPr>
              <w:t>Dimension</w:t>
            </w:r>
          </w:p>
        </w:tc>
        <w:tc>
          <w:tcPr>
            <w:tcW w:type="dxa" w:w="7056"/>
            <w:shd w:fill="E7EEE8"/>
          </w:tcPr>
          <w:p>
            <w:pPr>
              <w:spacing w:before="0" w:after="80" w:line="269" w:lineRule="auto"/>
            </w:pPr>
            <w:r>
              <w:rPr>
                <w:b/>
                <w:sz w:val="18"/>
              </w:rPr>
              <w:t>Donnée</w:t>
            </w:r>
          </w:p>
        </w:tc>
      </w:tr>
      <w:tr>
        <w:trPr>
          <w:cantSplit/>
        </w:trPr>
        <w:tc>
          <w:tcPr>
            <w:tcW w:type="dxa" w:w="2304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Usage, lieu, date</w:t>
            </w:r>
          </w:p>
        </w:tc>
        <w:tc>
          <w:tcPr>
            <w:tcW w:type="dxa" w:w="7056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appartement ; même quartier fictif ; M-11</w:t>
            </w:r>
          </w:p>
        </w:tc>
      </w:tr>
      <w:tr>
        <w:trPr>
          <w:cantSplit/>
        </w:trPr>
        <w:tc>
          <w:tcPr>
            <w:tcW w:type="dxa" w:w="2304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Bâtiment, étage</w:t>
            </w:r>
          </w:p>
        </w:tc>
        <w:tc>
          <w:tcPr>
            <w:tcW w:type="dxa" w:w="7056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bâtiment fictif comparable des années 1970 ; 5e étage, ascenseur fictif</w:t>
            </w:r>
          </w:p>
        </w:tc>
      </w:tr>
      <w:tr>
        <w:trPr>
          <w:cantSplit/>
        </w:trPr>
        <w:tc>
          <w:tcPr>
            <w:tcW w:type="dxa" w:w="2304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Surface et montant</w:t>
            </w:r>
          </w:p>
        </w:tc>
        <w:tc>
          <w:tcPr>
            <w:tcW w:type="dxa" w:w="7056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72,2 m² ; 326 000 UP</w:t>
            </w:r>
          </w:p>
        </w:tc>
      </w:tr>
      <w:tr>
        <w:trPr>
          <w:cantSplit/>
        </w:trPr>
        <w:tc>
          <w:tcPr>
            <w:tcW w:type="dxa" w:w="2304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État, occupation</w:t>
            </w:r>
          </w:p>
        </w:tc>
        <w:tc>
          <w:tcPr>
            <w:tcW w:type="dxa" w:w="7056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rafraîchissement partiel fictif ; occupation inconnue à la vente</w:t>
            </w:r>
          </w:p>
        </w:tc>
      </w:tr>
      <w:tr>
        <w:trPr>
          <w:cantSplit/>
        </w:trPr>
        <w:tc>
          <w:tcPr>
            <w:tcW w:type="dxa" w:w="2304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Annexes, droits</w:t>
            </w:r>
          </w:p>
        </w:tc>
        <w:tc>
          <w:tcPr>
            <w:tcW w:type="dxa" w:w="7056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cave comprise ; aucun droit de stationnement annoncé</w:t>
            </w:r>
          </w:p>
        </w:tc>
      </w:tr>
      <w:tr>
        <w:trPr>
          <w:cantSplit/>
        </w:trPr>
        <w:tc>
          <w:tcPr>
            <w:tcW w:type="dxa" w:w="2304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Copropriété, transaction</w:t>
            </w:r>
          </w:p>
        </w:tc>
        <w:tc>
          <w:tcPr>
            <w:tcW w:type="dxa" w:w="7056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contexte courant fictif ; occupation inconnue</w:t>
            </w:r>
          </w:p>
        </w:tc>
      </w:tr>
    </w:tbl>
    <w:p>
      <w:pPr>
        <w:pStyle w:val="Heading2"/>
      </w:pPr>
      <w:r>
        <w:t>BELVEDERE-COMP-04</w:t>
      </w:r>
    </w:p>
    <w:p>
      <w:pPr>
        <w:pStyle w:val="Caption"/>
        <w:keepNext/>
      </w:pPr>
      <w:r>
        <w:t>Fiche de référence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  <w:tblBorders>
          <w:top w:val="single" w:sz="4" w:color="BCCBC1"/>
          <w:left w:val="single" w:sz="4" w:color="BCCBC1"/>
          <w:bottom w:val="single" w:sz="4" w:color="BCCBC1"/>
          <w:right w:val="single" w:sz="4" w:color="BCCBC1"/>
          <w:insideH w:val="single" w:sz="4" w:color="BCCBC1"/>
          <w:insideV w:val="single" w:sz="4" w:color="BCCBC1"/>
        </w:tblBorders>
      </w:tblPr>
      <w:tblGrid>
        <w:gridCol w:w="2304"/>
        <w:gridCol w:w="7056"/>
      </w:tblGrid>
      <w:tr>
        <w:trPr>
          <w:cantSplit/>
          <w:tblHeader/>
        </w:trPr>
        <w:tc>
          <w:tcPr>
            <w:tcW w:type="dxa" w:w="2304"/>
            <w:shd w:fill="E7EEE8"/>
          </w:tcPr>
          <w:p>
            <w:pPr>
              <w:spacing w:before="0" w:after="80" w:line="269" w:lineRule="auto"/>
            </w:pPr>
            <w:r>
              <w:rPr>
                <w:b/>
                <w:sz w:val="18"/>
              </w:rPr>
              <w:t>Dimension</w:t>
            </w:r>
          </w:p>
        </w:tc>
        <w:tc>
          <w:tcPr>
            <w:tcW w:type="dxa" w:w="7056"/>
            <w:shd w:fill="E7EEE8"/>
          </w:tcPr>
          <w:p>
            <w:pPr>
              <w:spacing w:before="0" w:after="80" w:line="269" w:lineRule="auto"/>
            </w:pPr>
            <w:r>
              <w:rPr>
                <w:b/>
                <w:sz w:val="18"/>
              </w:rPr>
              <w:t>Donnée</w:t>
            </w:r>
          </w:p>
        </w:tc>
      </w:tr>
      <w:tr>
        <w:trPr>
          <w:cantSplit/>
        </w:trPr>
        <w:tc>
          <w:tcPr>
            <w:tcW w:type="dxa" w:w="2304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Usage, lieu, date</w:t>
            </w:r>
          </w:p>
        </w:tc>
        <w:tc>
          <w:tcPr>
            <w:tcW w:type="dxa" w:w="7056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appartement ; même commune fictive ; M-19</w:t>
            </w:r>
          </w:p>
        </w:tc>
      </w:tr>
      <w:tr>
        <w:trPr>
          <w:cantSplit/>
        </w:trPr>
        <w:tc>
          <w:tcPr>
            <w:tcW w:type="dxa" w:w="2304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Bâtiment, étage</w:t>
            </w:r>
          </w:p>
        </w:tc>
        <w:tc>
          <w:tcPr>
            <w:tcW w:type="dxa" w:w="7056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immeuble collectif fictif comparable ; 2e étage, accessibilité inconnue</w:t>
            </w:r>
          </w:p>
        </w:tc>
      </w:tr>
      <w:tr>
        <w:trPr>
          <w:cantSplit/>
        </w:trPr>
        <w:tc>
          <w:tcPr>
            <w:tcW w:type="dxa" w:w="2304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Surface et montant</w:t>
            </w:r>
          </w:p>
        </w:tc>
        <w:tc>
          <w:tcPr>
            <w:tcW w:type="dxa" w:w="7056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64,5 m² ; 286 000 UP</w:t>
            </w:r>
          </w:p>
        </w:tc>
      </w:tr>
      <w:tr>
        <w:trPr>
          <w:cantSplit/>
        </w:trPr>
        <w:tc>
          <w:tcPr>
            <w:tcW w:type="dxa" w:w="2304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État, occupation</w:t>
            </w:r>
          </w:p>
        </w:tc>
        <w:tc>
          <w:tcPr>
            <w:tcW w:type="dxa" w:w="7056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état courant fictif ; libre dans le scénario</w:t>
            </w:r>
          </w:p>
        </w:tc>
      </w:tr>
      <w:tr>
        <w:trPr>
          <w:cantSplit/>
        </w:trPr>
        <w:tc>
          <w:tcPr>
            <w:tcW w:type="dxa" w:w="2304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Annexes, droits</w:t>
            </w:r>
          </w:p>
        </w:tc>
        <w:tc>
          <w:tcPr>
            <w:tcW w:type="dxa" w:w="7056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inconnu ; inconnu</w:t>
            </w:r>
          </w:p>
        </w:tc>
      </w:tr>
      <w:tr>
        <w:trPr>
          <w:cantSplit/>
        </w:trPr>
        <w:tc>
          <w:tcPr>
            <w:tcW w:type="dxa" w:w="2304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Copropriété, transaction</w:t>
            </w:r>
          </w:p>
        </w:tc>
        <w:tc>
          <w:tcPr>
            <w:tcW w:type="dxa" w:w="7056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information partielle ; vente fictive ordinaire supposée</w:t>
            </w:r>
          </w:p>
        </w:tc>
      </w:tr>
    </w:tbl>
    <w:p>
      <w:pPr>
        <w:pStyle w:val="Heading1"/>
        <w:pageBreakBefore/>
      </w:pPr>
      <w:r>
        <w:t>Références fictives | 5 et 6</w:t>
      </w:r>
    </w:p>
    <w:p>
      <w:pPr/>
      <w:r>
        <w:t>Jeu BELVEDERE-SYNTHETIC-MARKET-001. M désigne la date fictive du 31 août 2026. Aucun prix, lieu ou acte réel.</w:t>
      </w:r>
    </w:p>
    <w:p>
      <w:pPr>
        <w:pStyle w:val="Heading2"/>
      </w:pPr>
      <w:r>
        <w:t>BELVEDERE-COMP-05</w:t>
      </w:r>
    </w:p>
    <w:p>
      <w:pPr>
        <w:pStyle w:val="Caption"/>
        <w:keepNext/>
      </w:pPr>
      <w:r>
        <w:t>Fiche de référence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  <w:tblBorders>
          <w:top w:val="single" w:sz="4" w:color="BCCBC1"/>
          <w:left w:val="single" w:sz="4" w:color="BCCBC1"/>
          <w:bottom w:val="single" w:sz="4" w:color="BCCBC1"/>
          <w:right w:val="single" w:sz="4" w:color="BCCBC1"/>
          <w:insideH w:val="single" w:sz="4" w:color="BCCBC1"/>
          <w:insideV w:val="single" w:sz="4" w:color="BCCBC1"/>
        </w:tblBorders>
      </w:tblPr>
      <w:tblGrid>
        <w:gridCol w:w="2304"/>
        <w:gridCol w:w="7056"/>
      </w:tblGrid>
      <w:tr>
        <w:trPr>
          <w:cantSplit/>
          <w:tblHeader/>
        </w:trPr>
        <w:tc>
          <w:tcPr>
            <w:tcW w:type="dxa" w:w="2304"/>
            <w:shd w:fill="E7EEE8"/>
          </w:tcPr>
          <w:p>
            <w:pPr>
              <w:spacing w:before="0" w:after="80" w:line="269" w:lineRule="auto"/>
            </w:pPr>
            <w:r>
              <w:rPr>
                <w:b/>
                <w:sz w:val="18"/>
              </w:rPr>
              <w:t>Dimension</w:t>
            </w:r>
          </w:p>
        </w:tc>
        <w:tc>
          <w:tcPr>
            <w:tcW w:type="dxa" w:w="7056"/>
            <w:shd w:fill="E7EEE8"/>
          </w:tcPr>
          <w:p>
            <w:pPr>
              <w:spacing w:before="0" w:after="80" w:line="269" w:lineRule="auto"/>
            </w:pPr>
            <w:r>
              <w:rPr>
                <w:b/>
                <w:sz w:val="18"/>
              </w:rPr>
              <w:t>Donnée</w:t>
            </w:r>
          </w:p>
        </w:tc>
      </w:tr>
      <w:tr>
        <w:trPr>
          <w:cantSplit/>
        </w:trPr>
        <w:tc>
          <w:tcPr>
            <w:tcW w:type="dxa" w:w="2304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Usage, lieu, date</w:t>
            </w:r>
          </w:p>
        </w:tc>
        <w:tc>
          <w:tcPr>
            <w:tcW w:type="dxa" w:w="7056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local professionnel ; même commune fictive ; M-4</w:t>
            </w:r>
          </w:p>
        </w:tc>
      </w:tr>
      <w:tr>
        <w:trPr>
          <w:cantSplit/>
        </w:trPr>
        <w:tc>
          <w:tcPr>
            <w:tcW w:type="dxa" w:w="2304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Bâtiment, étage</w:t>
            </w:r>
          </w:p>
        </w:tc>
        <w:tc>
          <w:tcPr>
            <w:tcW w:type="dxa" w:w="7056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immeuble fictif à usages mixtes ; rez-de-chaussée</w:t>
            </w:r>
          </w:p>
        </w:tc>
      </w:tr>
      <w:tr>
        <w:trPr>
          <w:cantSplit/>
        </w:trPr>
        <w:tc>
          <w:tcPr>
            <w:tcW w:type="dxa" w:w="2304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Surface et montant</w:t>
            </w:r>
          </w:p>
        </w:tc>
        <w:tc>
          <w:tcPr>
            <w:tcW w:type="dxa" w:w="7056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69,0 m² ; 279 000 UP</w:t>
            </w:r>
          </w:p>
        </w:tc>
      </w:tr>
      <w:tr>
        <w:trPr>
          <w:cantSplit/>
        </w:trPr>
        <w:tc>
          <w:tcPr>
            <w:tcW w:type="dxa" w:w="2304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État, occupation</w:t>
            </w:r>
          </w:p>
        </w:tc>
        <w:tc>
          <w:tcPr>
            <w:tcW w:type="dxa" w:w="7056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état courant fictif ; usage professionnel</w:t>
            </w:r>
          </w:p>
        </w:tc>
      </w:tr>
      <w:tr>
        <w:trPr>
          <w:cantSplit/>
        </w:trPr>
        <w:tc>
          <w:tcPr>
            <w:tcW w:type="dxa" w:w="2304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Annexes, droits</w:t>
            </w:r>
          </w:p>
        </w:tc>
        <w:tc>
          <w:tcPr>
            <w:tcW w:type="dxa" w:w="7056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aucun ; droits d’usage professionnel</w:t>
            </w:r>
          </w:p>
        </w:tc>
      </w:tr>
      <w:tr>
        <w:trPr>
          <w:cantSplit/>
        </w:trPr>
        <w:tc>
          <w:tcPr>
            <w:tcW w:type="dxa" w:w="2304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Copropriété, transaction</w:t>
            </w:r>
          </w:p>
        </w:tc>
        <w:tc>
          <w:tcPr>
            <w:tcW w:type="dxa" w:w="7056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contexte d’un autre usage ; vente fictive ordinaire supposée</w:t>
            </w:r>
          </w:p>
        </w:tc>
      </w:tr>
    </w:tbl>
    <w:p>
      <w:pPr>
        <w:pStyle w:val="Heading2"/>
      </w:pPr>
      <w:r>
        <w:t>BELVEDERE-COMP-06</w:t>
      </w:r>
    </w:p>
    <w:p>
      <w:pPr>
        <w:pStyle w:val="Caption"/>
        <w:keepNext/>
      </w:pPr>
      <w:r>
        <w:t>Fiche de référence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  <w:tblBorders>
          <w:top w:val="single" w:sz="4" w:color="BCCBC1"/>
          <w:left w:val="single" w:sz="4" w:color="BCCBC1"/>
          <w:bottom w:val="single" w:sz="4" w:color="BCCBC1"/>
          <w:right w:val="single" w:sz="4" w:color="BCCBC1"/>
          <w:insideH w:val="single" w:sz="4" w:color="BCCBC1"/>
          <w:insideV w:val="single" w:sz="4" w:color="BCCBC1"/>
        </w:tblBorders>
      </w:tblPr>
      <w:tblGrid>
        <w:gridCol w:w="2304"/>
        <w:gridCol w:w="7056"/>
      </w:tblGrid>
      <w:tr>
        <w:trPr>
          <w:cantSplit/>
          <w:tblHeader/>
        </w:trPr>
        <w:tc>
          <w:tcPr>
            <w:tcW w:type="dxa" w:w="2304"/>
            <w:shd w:fill="E7EEE8"/>
          </w:tcPr>
          <w:p>
            <w:pPr>
              <w:spacing w:before="0" w:after="80" w:line="269" w:lineRule="auto"/>
            </w:pPr>
            <w:r>
              <w:rPr>
                <w:b/>
                <w:sz w:val="18"/>
              </w:rPr>
              <w:t>Dimension</w:t>
            </w:r>
          </w:p>
        </w:tc>
        <w:tc>
          <w:tcPr>
            <w:tcW w:type="dxa" w:w="7056"/>
            <w:shd w:fill="E7EEE8"/>
          </w:tcPr>
          <w:p>
            <w:pPr>
              <w:spacing w:before="0" w:after="80" w:line="269" w:lineRule="auto"/>
            </w:pPr>
            <w:r>
              <w:rPr>
                <w:b/>
                <w:sz w:val="18"/>
              </w:rPr>
              <w:t>Donnée</w:t>
            </w:r>
          </w:p>
        </w:tc>
      </w:tr>
      <w:tr>
        <w:trPr>
          <w:cantSplit/>
        </w:trPr>
        <w:tc>
          <w:tcPr>
            <w:tcW w:type="dxa" w:w="2304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Usage, lieu, date</w:t>
            </w:r>
          </w:p>
        </w:tc>
        <w:tc>
          <w:tcPr>
            <w:tcW w:type="dxa" w:w="7056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appartement ; secteur fictif adjacent ; M-2</w:t>
            </w:r>
          </w:p>
        </w:tc>
      </w:tr>
      <w:tr>
        <w:trPr>
          <w:cantSplit/>
        </w:trPr>
        <w:tc>
          <w:tcPr>
            <w:tcW w:type="dxa" w:w="2304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Bâtiment, étage</w:t>
            </w:r>
          </w:p>
        </w:tc>
        <w:tc>
          <w:tcPr>
            <w:tcW w:type="dxa" w:w="7056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bâtiment fictif beaucoup plus récent ; 4e étage, ascenseur fictif</w:t>
            </w:r>
          </w:p>
        </w:tc>
      </w:tr>
      <w:tr>
        <w:trPr>
          <w:cantSplit/>
        </w:trPr>
        <w:tc>
          <w:tcPr>
            <w:tcW w:type="dxa" w:w="2304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Surface et montant</w:t>
            </w:r>
          </w:p>
        </w:tc>
        <w:tc>
          <w:tcPr>
            <w:tcW w:type="dxa" w:w="7056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68,7 m² ; 352 000 UP</w:t>
            </w:r>
          </w:p>
        </w:tc>
      </w:tr>
      <w:tr>
        <w:trPr>
          <w:cantSplit/>
        </w:trPr>
        <w:tc>
          <w:tcPr>
            <w:tcW w:type="dxa" w:w="2304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État, occupation</w:t>
            </w:r>
          </w:p>
        </w:tc>
        <w:tc>
          <w:tcPr>
            <w:tcW w:type="dxa" w:w="7056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plus récent, prestations fictives supérieures ; libre dans le scénario</w:t>
            </w:r>
          </w:p>
        </w:tc>
      </w:tr>
      <w:tr>
        <w:trPr>
          <w:cantSplit/>
        </w:trPr>
        <w:tc>
          <w:tcPr>
            <w:tcW w:type="dxa" w:w="2304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Annexes, droits</w:t>
            </w:r>
          </w:p>
        </w:tc>
        <w:tc>
          <w:tcPr>
            <w:tcW w:type="dxa" w:w="7056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stationnement dans le prix groupé ; prix du stationnement non ventilé</w:t>
            </w:r>
          </w:p>
        </w:tc>
      </w:tr>
      <w:tr>
        <w:trPr>
          <w:cantSplit/>
        </w:trPr>
        <w:tc>
          <w:tcPr>
            <w:tcW w:type="dxa" w:w="2304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Copropriété, transaction</w:t>
            </w:r>
          </w:p>
        </w:tc>
        <w:tc>
          <w:tcPr>
            <w:tcW w:type="dxa" w:w="7056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contexte de bâtiment récent ; vente groupée sans ventilation</w:t>
            </w:r>
          </w:p>
        </w:tc>
      </w:tr>
    </w:tbl>
    <w:p>
      <w:pPr>
        <w:pStyle w:val="Heading1"/>
        <w:pageBreakBefore/>
      </w:pPr>
      <w:r>
        <w:t>Paramètres de scénario et de sensibilité</w:t>
      </w:r>
    </w:p>
    <w:p>
      <w:pPr/>
      <w:r>
        <w:t>Les plages ci-dessous sont des données imposées pour l’exercice, pas le résultat d’une formule de marché. Le ratio montant/surface décrit les références ; il ne suffit pas à former la conclusion.</w:t>
      </w:r>
    </w:p>
    <w:p>
      <w:pPr>
        <w:pStyle w:val="Caption"/>
        <w:keepNext/>
      </w:pPr>
      <w:r>
        <w:t>Situation de travail à la date fictive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  <w:tblBorders>
          <w:top w:val="single" w:sz="4" w:color="BCCBC1"/>
          <w:left w:val="single" w:sz="4" w:color="BCCBC1"/>
          <w:bottom w:val="single" w:sz="4" w:color="BCCBC1"/>
          <w:right w:val="single" w:sz="4" w:color="BCCBC1"/>
          <w:insideH w:val="single" w:sz="4" w:color="BCCBC1"/>
          <w:insideV w:val="single" w:sz="4" w:color="BCCBC1"/>
        </w:tblBorders>
      </w:tblPr>
      <w:tblGrid>
        <w:gridCol w:w="4320"/>
        <w:gridCol w:w="5040"/>
      </w:tblGrid>
      <w:tr>
        <w:trPr>
          <w:cantSplit/>
          <w:tblHeader/>
        </w:trPr>
        <w:tc>
          <w:tcPr>
            <w:tcW w:type="dxa" w:w="4320"/>
            <w:shd w:fill="E7EEE8"/>
          </w:tcPr>
          <w:p>
            <w:pPr>
              <w:spacing w:before="0" w:after="80" w:line="269" w:lineRule="auto"/>
            </w:pPr>
            <w:r>
              <w:rPr>
                <w:b/>
                <w:sz w:val="18"/>
              </w:rPr>
              <w:t>Paramètre</w:t>
            </w:r>
          </w:p>
        </w:tc>
        <w:tc>
          <w:tcPr>
            <w:tcW w:type="dxa" w:w="5040"/>
            <w:shd w:fill="E7EEE8"/>
          </w:tcPr>
          <w:p>
            <w:pPr>
              <w:spacing w:before="0" w:after="80" w:line="269" w:lineRule="auto"/>
            </w:pPr>
            <w:r>
              <w:rPr>
                <w:b/>
                <w:sz w:val="18"/>
              </w:rPr>
              <w:t>Valeur pédagogique</w:t>
            </w:r>
          </w:p>
        </w:tc>
      </w:tr>
      <w:tr>
        <w:trPr>
          <w:cantSplit/>
        </w:trPr>
        <w:tc>
          <w:tcPr>
            <w:tcW w:type="dxa" w:w="432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Plage de travail</w:t>
            </w:r>
          </w:p>
        </w:tc>
        <w:tc>
          <w:tcPr>
            <w:tcW w:type="dxa" w:w="504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295 000 à 315 000 UP</w:t>
            </w:r>
          </w:p>
        </w:tc>
      </w:tr>
      <w:tr>
        <w:trPr>
          <w:cantSplit/>
        </w:trPr>
        <w:tc>
          <w:tcPr>
            <w:tcW w:type="dxa" w:w="432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Scénario central de travail</w:t>
            </w:r>
          </w:p>
        </w:tc>
        <w:tc>
          <w:tcPr>
            <w:tcW w:type="dxa" w:w="504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305 000 UP</w:t>
            </w:r>
          </w:p>
        </w:tc>
      </w:tr>
      <w:tr>
        <w:trPr>
          <w:cantSplit/>
        </w:trPr>
        <w:tc>
          <w:tcPr>
            <w:tcW w:type="dxa" w:w="432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Vendre avec le dossier actuel</w:t>
            </w:r>
          </w:p>
        </w:tc>
        <w:tc>
          <w:tcPr>
            <w:tcW w:type="dxa" w:w="504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284 000 à 315 000 UP ; centre 300 000 UP</w:t>
            </w:r>
          </w:p>
        </w:tc>
      </w:tr>
      <w:tr>
        <w:trPr>
          <w:cantSplit/>
        </w:trPr>
        <w:tc>
          <w:tcPr>
            <w:tcW w:type="dxa" w:w="432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Documenter puis vendre, sans effet défavorable</w:t>
            </w:r>
          </w:p>
        </w:tc>
        <w:tc>
          <w:tcPr>
            <w:tcW w:type="dxa" w:w="504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300 000 à 323 000 UP ; centre 311 000 UP</w:t>
            </w:r>
          </w:p>
        </w:tc>
      </w:tr>
      <w:tr>
        <w:trPr>
          <w:cantSplit/>
        </w:trPr>
        <w:tc>
          <w:tcPr>
            <w:tcW w:type="dxa" w:w="432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Conserver et programmer des travaux</w:t>
            </w:r>
          </w:p>
        </w:tc>
        <w:tc>
          <w:tcPr>
            <w:tcW w:type="dxa" w:w="504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Opinion actuelle : 295 000 à 315 000 UP ; aucune valeur future produite</w:t>
            </w:r>
          </w:p>
        </w:tc>
      </w:tr>
    </w:tbl>
    <w:p>
      <w:pPr/>
      <w:r>
        <w:t>Le scénario central de travail (305 000 UP) et les centres conditionnels des scénarios (300 000 ou 311 000 UP) décrivent des hypothèses différentes. Ne pas les confondre.</w:t>
      </w:r>
    </w:p>
    <w:p>
      <w:pPr>
        <w:pStyle w:val="Caption"/>
        <w:keepNext/>
      </w:pPr>
      <w:r>
        <w:t>Trois tests indépendants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  <w:tblBorders>
          <w:top w:val="single" w:sz="4" w:color="BCCBC1"/>
          <w:left w:val="single" w:sz="4" w:color="BCCBC1"/>
          <w:bottom w:val="single" w:sz="4" w:color="BCCBC1"/>
          <w:right w:val="single" w:sz="4" w:color="BCCBC1"/>
          <w:insideH w:val="single" w:sz="4" w:color="BCCBC1"/>
          <w:insideV w:val="single" w:sz="4" w:color="BCCBC1"/>
        </w:tblBorders>
      </w:tblPr>
      <w:tblGrid>
        <w:gridCol w:w="1872"/>
        <w:gridCol w:w="2160"/>
        <w:gridCol w:w="5328"/>
      </w:tblGrid>
      <w:tr>
        <w:trPr>
          <w:cantSplit/>
          <w:tblHeader/>
        </w:trPr>
        <w:tc>
          <w:tcPr>
            <w:tcW w:type="dxa" w:w="1872"/>
            <w:shd w:fill="E7EEE8"/>
          </w:tcPr>
          <w:p>
            <w:pPr>
              <w:spacing w:before="0" w:after="80" w:line="269" w:lineRule="auto"/>
            </w:pPr>
            <w:r>
              <w:rPr>
                <w:b/>
                <w:sz w:val="18"/>
              </w:rPr>
              <w:t>Variable</w:t>
            </w:r>
          </w:p>
        </w:tc>
        <w:tc>
          <w:tcPr>
            <w:tcW w:type="dxa" w:w="2160"/>
            <w:shd w:fill="E7EEE8"/>
          </w:tcPr>
          <w:p>
            <w:pPr>
              <w:spacing w:before="0" w:after="80" w:line="269" w:lineRule="auto"/>
            </w:pPr>
            <w:r>
              <w:rPr>
                <w:b/>
                <w:sz w:val="18"/>
              </w:rPr>
              <w:t>Borne pédagogique</w:t>
            </w:r>
          </w:p>
        </w:tc>
        <w:tc>
          <w:tcPr>
            <w:tcW w:type="dxa" w:w="5328"/>
            <w:shd w:fill="E7EEE8"/>
          </w:tcPr>
          <w:p>
            <w:pPr>
              <w:spacing w:before="0" w:after="80" w:line="269" w:lineRule="auto"/>
            </w:pPr>
            <w:r>
              <w:rPr>
                <w:b/>
                <w:sz w:val="18"/>
              </w:rPr>
              <w:t>Condition</w:t>
            </w:r>
          </w:p>
        </w:tc>
      </w:tr>
      <w:tr>
        <w:trPr>
          <w:cantSplit/>
        </w:trPr>
        <w:tc>
          <w:tcPr>
            <w:tcW w:type="dxa" w:w="1872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Stationnement</w:t>
            </w:r>
          </w:p>
        </w:tc>
        <w:tc>
          <w:tcPr>
            <w:tcW w:type="dxa" w:w="216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0 à +8 000 UP</w:t>
            </w:r>
          </w:p>
        </w:tc>
        <w:tc>
          <w:tcPr>
            <w:tcW w:type="dxa" w:w="5328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Droit prouvé et comparaison qualifiée</w:t>
            </w:r>
          </w:p>
        </w:tc>
      </w:tr>
      <w:tr>
        <w:trPr>
          <w:cantSplit/>
        </w:trPr>
        <w:tc>
          <w:tcPr>
            <w:tcW w:type="dxa" w:w="1872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Façade</w:t>
            </w:r>
          </w:p>
        </w:tc>
        <w:tc>
          <w:tcPr>
            <w:tcW w:type="dxa" w:w="216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-9 000 à 0 UP</w:t>
            </w:r>
          </w:p>
        </w:tc>
        <w:tc>
          <w:tcPr>
            <w:tcW w:type="dxa" w:w="5328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Résolution, quote-part, calendrier et financement complets</w:t>
            </w:r>
          </w:p>
        </w:tc>
      </w:tr>
      <w:tr>
        <w:trPr>
          <w:cantSplit/>
        </w:trPr>
        <w:tc>
          <w:tcPr>
            <w:tcW w:type="dxa" w:w="1872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Auréole</w:t>
            </w:r>
          </w:p>
        </w:tc>
        <w:tc>
          <w:tcPr>
            <w:tcW w:type="dxa" w:w="216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-11 000 à 0 UP</w:t>
            </w:r>
          </w:p>
        </w:tc>
        <w:tc>
          <w:tcPr>
            <w:tcW w:type="dxa" w:w="5328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  <w:t>Historique puis investigation proportionnée</w:t>
            </w:r>
          </w:p>
        </w:tc>
      </w:tr>
    </w:tbl>
    <w:p>
      <w:pPr/>
      <w:r>
        <w:t>Les effets ne sont pas cumulés automatiquement : ils peuvent se recouvrir et dépendent de preuves distinctes. Une information défavorable conduit à réexaminer la plage 284 000 à 306 000 UP selon la preuve obtenue ; ce n’est pas un quatrième scénario de détention.</w:t>
      </w:r>
    </w:p>
    <w:p>
      <w:pPr/>
      <w:r>
        <w:t>Références : A04-C007, A04-C008, A04-C009, A04-C013, A04-C014, A04-C015, A04-C016, A04-C026, A04-C027, A04-C028, A04-C029, A04-C030, A04-C031, A04-C032.</w:t>
      </w:r>
    </w:p>
    <w:p>
      <w:pPr>
        <w:pStyle w:val="Heading1"/>
        <w:pageBreakBefore/>
      </w:pPr>
      <w:r>
        <w:t>Gabarit du rapport et versions</w:t>
      </w:r>
    </w:p>
    <w:p>
      <w:pPr>
        <w:pStyle w:val="ListBullet"/>
      </w:pPr>
      <w:r>
        <w:t>1. Commande, donneur d'ordre et destinataires</w:t>
      </w:r>
    </w:p>
    <w:p>
      <w:pPr>
        <w:pStyle w:val="ListBullet"/>
      </w:pPr>
      <w:r>
        <w:t>2. Finalité, date de valeur et date du rapport</w:t>
      </w:r>
    </w:p>
    <w:p>
      <w:pPr>
        <w:pStyle w:val="ListBullet"/>
      </w:pPr>
      <w:r>
        <w:t>3. Bien, lots, droits retenus et occupation</w:t>
      </w:r>
    </w:p>
    <w:p>
      <w:pPr>
        <w:pStyle w:val="ListBullet"/>
      </w:pPr>
      <w:r>
        <w:t>4. Documents, versions, manques et incohérences</w:t>
      </w:r>
    </w:p>
    <w:p>
      <w:pPr>
        <w:pStyle w:val="ListBullet"/>
      </w:pPr>
      <w:r>
        <w:t>5. Visite, accès, observations et limites</w:t>
      </w:r>
    </w:p>
    <w:p>
      <w:pPr>
        <w:pStyle w:val="ListBullet"/>
      </w:pPr>
      <w:r>
        <w:t>6. Données de marché, provenance, sélection et exclusions</w:t>
      </w:r>
    </w:p>
    <w:p>
      <w:pPr>
        <w:pStyle w:val="ListBullet"/>
      </w:pPr>
      <w:r>
        <w:t>7. Méthode, calculs et hypothèses</w:t>
      </w:r>
    </w:p>
    <w:p>
      <w:pPr>
        <w:pStyle w:val="ListBullet"/>
      </w:pPr>
      <w:r>
        <w:t>8. Analyse des facteurs et scénarios</w:t>
      </w:r>
    </w:p>
    <w:p>
      <w:pPr>
        <w:pStyle w:val="ListBullet"/>
      </w:pPr>
      <w:r>
        <w:t>9. Conclusion, plage, scénario central et sensibilité</w:t>
      </w:r>
    </w:p>
    <w:p>
      <w:pPr>
        <w:pStyle w:val="ListBullet"/>
      </w:pPr>
      <w:r>
        <w:t>10. Réserves, passages de relais et déclencheurs</w:t>
      </w:r>
    </w:p>
    <w:p>
      <w:pPr>
        <w:pStyle w:val="ListBullet"/>
      </w:pPr>
      <w:r>
        <w:t>11. Index des preuves et annexes</w:t>
      </w:r>
    </w:p>
    <w:p>
      <w:pPr>
        <w:pStyle w:val="ListBullet"/>
      </w:pPr>
      <w:r>
        <w:t>12. Version, auteur, relecteur et diffusion</w:t>
      </w:r>
    </w:p>
    <w:p>
      <w:pPr/>
      <w:r>
        <w:t>Utilisez les balises ÉTABLI, DÉCLARÉ, HYPOTHÈSE et NON RÉSOLU pour qualifier les informations du dossier. Elles ne dépendent d’aucune couleur.</w:t>
      </w:r>
    </w:p>
    <w:p>
      <w:pPr>
        <w:pStyle w:val="Caption"/>
        <w:keepNext/>
      </w:pPr>
      <w:r>
        <w:t>Registre des versions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  <w:tblBorders>
          <w:top w:val="single" w:sz="4" w:color="BCCBC1"/>
          <w:left w:val="single" w:sz="4" w:color="BCCBC1"/>
          <w:bottom w:val="single" w:sz="4" w:color="BCCBC1"/>
          <w:right w:val="single" w:sz="4" w:color="BCCBC1"/>
          <w:insideH w:val="single" w:sz="4" w:color="BCCBC1"/>
          <w:insideV w:val="single" w:sz="4" w:color="BCCBC1"/>
        </w:tblBorders>
      </w:tblPr>
      <w:tblGrid>
        <w:gridCol w:w="2016"/>
        <w:gridCol w:w="3600"/>
        <w:gridCol w:w="3744"/>
      </w:tblGrid>
      <w:tr>
        <w:trPr>
          <w:cantSplit/>
          <w:tblHeader/>
        </w:trPr>
        <w:tc>
          <w:tcPr>
            <w:tcW w:type="dxa" w:w="2016"/>
            <w:shd w:fill="E7EEE8"/>
          </w:tcPr>
          <w:p>
            <w:pPr>
              <w:spacing w:before="0" w:after="80" w:line="269" w:lineRule="auto"/>
            </w:pPr>
            <w:r>
              <w:rPr>
                <w:b/>
                <w:sz w:val="18"/>
              </w:rPr>
              <w:t>Version et date</w:t>
            </w:r>
          </w:p>
        </w:tc>
        <w:tc>
          <w:tcPr>
            <w:tcW w:type="dxa" w:w="3600"/>
            <w:shd w:fill="E7EEE8"/>
          </w:tcPr>
          <w:p>
            <w:pPr>
              <w:spacing w:before="0" w:after="80" w:line="269" w:lineRule="auto"/>
            </w:pPr>
            <w:r>
              <w:rPr>
                <w:b/>
                <w:sz w:val="18"/>
              </w:rPr>
              <w:t>Motif / preuve nouvelle</w:t>
            </w:r>
          </w:p>
        </w:tc>
        <w:tc>
          <w:tcPr>
            <w:tcW w:type="dxa" w:w="3744"/>
            <w:shd w:fill="E7EEE8"/>
          </w:tcPr>
          <w:p>
            <w:pPr>
              <w:spacing w:before="0" w:after="80" w:line="269" w:lineRule="auto"/>
            </w:pPr>
            <w:r>
              <w:rPr>
                <w:b/>
                <w:sz w:val="18"/>
              </w:rPr>
              <w:t>Effet / auteur / relecteur / diffusion</w:t>
            </w:r>
          </w:p>
        </w:tc>
      </w:tr>
      <w:tr>
        <w:trPr>
          <w:cantSplit/>
        </w:trPr>
        <w:tc>
          <w:tcPr>
            <w:tcW w:type="dxa" w:w="2016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</w:r>
          </w:p>
        </w:tc>
        <w:tc>
          <w:tcPr>
            <w:tcW w:type="dxa" w:w="360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</w:r>
          </w:p>
        </w:tc>
        <w:tc>
          <w:tcPr>
            <w:tcW w:type="dxa" w:w="3744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2016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</w:r>
          </w:p>
        </w:tc>
        <w:tc>
          <w:tcPr>
            <w:tcW w:type="dxa" w:w="3600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</w:r>
          </w:p>
        </w:tc>
        <w:tc>
          <w:tcPr>
            <w:tcW w:type="dxa" w:w="3744"/>
          </w:tcPr>
          <w:p>
            <w:pPr>
              <w:spacing w:before="0" w:after="80" w:line="269" w:lineRule="auto"/>
            </w:pPr>
            <w:r>
              <w:rPr>
                <w:b w:val="0"/>
                <w:sz w:val="18"/>
              </w:rPr>
            </w:r>
          </w:p>
        </w:tc>
      </w:tr>
    </w:tbl>
    <w:p>
      <w:pPr/>
      <w:r>
        <w:t>Une pièce nouvelle crée une nouvelle version et un motif. Conserver les sources reçues, les feuilles de travail, le rapport et la note séparément.</w:t>
      </w:r>
    </w:p>
    <w:p>
      <w:pPr/>
      <w:r>
        <w:t>Références : A04-C001, A04-C002, A04-C003, A04-C004, A04-C005, A04-C006, A04-C013, A04-C016, A04-C028, A04-C032.</w:t>
      </w:r>
    </w:p>
    <w:p>
      <w:pPr>
        <w:pStyle w:val="Heading1"/>
        <w:pageBreakBefore/>
      </w:pPr>
      <w:r>
        <w:t>Sources et repères de lecture</w:t>
      </w:r>
    </w:p>
    <w:p>
      <w:pPr/>
      <w:r>
        <w:t>Références publiques consultées le 31 août 2026. Les outils de travail, consignes et données fictives sont des créations pédagogiques IEB ; ils ne constituent pas une norme ni une méthode professionnelle obligatoire.</w:t>
      </w:r>
    </w:p>
    <w:p>
      <w:pPr/>
      <w:r>
        <w:t>Repères IEB : IEB-A04-TOOL-EVIDENCE-CHAIN désigne la chaîne de preuve ; IEB-A04-TOOL-FSID la matrice Fait–Source–Impact–Décision ; IEB-A04-TOOL-SENSITIVITY les tests de sensibilité ; IEB-A04-TOOL-REPORT le gabarit du rapport. IEB-A04-SYNTHETIC-MARKET-001 renvoie au jeu fictif BELVEDERE-SYNTHETIC-MARKET-001.</w:t>
      </w:r>
    </w:p>
    <w:p>
      <w:pPr>
        <w:pStyle w:val="Heading2"/>
      </w:pPr>
      <w:r>
        <w:t>A04-SRC-001 | Vente immobilière : obligations de l'agent immobilier envers ses clients</w:t>
      </w:r>
    </w:p>
    <w:p>
      <w:pPr>
        <w:keepNext/>
      </w:pPr>
      <w:hyperlink r:id="rId11">
        <w:r>
          <w:rPr>
            <w:color w:val="185848"/>
            <w:u w:val="single"/>
          </w:rPr>
          <w:t>Consulter : Vente immobilière : obligations de l'agent immobilier envers ses clients</w:t>
        </w:r>
      </w:hyperlink>
    </w:p>
    <w:p>
      <w:pPr/>
      <w:r>
        <w:t>Repères : A04-C001, A04-C002, A04-C003, A04-C004.</w:t>
      </w:r>
    </w:p>
    <w:p>
      <w:pPr>
        <w:pStyle w:val="Heading2"/>
      </w:pPr>
      <w:r>
        <w:t>A04-SRC-002 | Code civil — article 1353</w:t>
      </w:r>
    </w:p>
    <w:p>
      <w:pPr>
        <w:keepNext/>
      </w:pPr>
      <w:hyperlink r:id="rId12">
        <w:r>
          <w:rPr>
            <w:color w:val="185848"/>
            <w:u w:val="single"/>
          </w:rPr>
          <w:t>Consulter : Code civil — article 1353</w:t>
        </w:r>
      </w:hyperlink>
    </w:p>
    <w:p>
      <w:pPr/>
      <w:r>
        <w:t>Repères : A04-C005, A04-C006.</w:t>
      </w:r>
    </w:p>
    <w:p>
      <w:pPr>
        <w:pStyle w:val="Heading2"/>
      </w:pPr>
      <w:r>
        <w:t>A04-SRC-003 | BOFiP — principes d'évaluation des immeubles pour l'IFI</w:t>
      </w:r>
    </w:p>
    <w:p>
      <w:pPr>
        <w:keepNext/>
      </w:pPr>
      <w:hyperlink r:id="rId13">
        <w:r>
          <w:rPr>
            <w:color w:val="185848"/>
            <w:u w:val="single"/>
          </w:rPr>
          <w:t>Consulter : BOFiP — principes d'évaluation des immeubles pour l'IFI</w:t>
        </w:r>
      </w:hyperlink>
    </w:p>
    <w:p>
      <w:pPr/>
      <w:r>
        <w:t>Repères : A04-C007, A04-C008, A04-C009.</w:t>
      </w:r>
    </w:p>
    <w:p>
      <w:pPr>
        <w:pStyle w:val="Heading2"/>
      </w:pPr>
      <w:r>
        <w:t>A04-SRC-004 | Demandes de valeurs foncières (DVF)</w:t>
      </w:r>
    </w:p>
    <w:p>
      <w:pPr>
        <w:keepNext/>
      </w:pPr>
      <w:hyperlink r:id="rId14">
        <w:r>
          <w:rPr>
            <w:color w:val="185848"/>
            <w:u w:val="single"/>
          </w:rPr>
          <w:t>Consulter : Demandes de valeurs foncières (DVF)</w:t>
        </w:r>
      </w:hyperlink>
    </w:p>
    <w:p>
      <w:pPr/>
      <w:r>
        <w:t>Repères : A04-C010, A04-C011, A04-C012, A04-C013.</w:t>
      </w:r>
    </w:p>
    <w:p>
      <w:pPr>
        <w:pStyle w:val="Heading2"/>
      </w:pPr>
      <w:r>
        <w:t>A04-SRC-005 | Indice des prix des logements anciens — documentation méthodologique</w:t>
      </w:r>
    </w:p>
    <w:p>
      <w:pPr>
        <w:keepNext/>
      </w:pPr>
      <w:hyperlink r:id="rId15">
        <w:r>
          <w:rPr>
            <w:color w:val="185848"/>
            <w:u w:val="single"/>
          </w:rPr>
          <w:t>Consulter : Indice des prix des logements anciens — documentation méthodologique</w:t>
        </w:r>
      </w:hyperlink>
    </w:p>
    <w:p>
      <w:pPr/>
      <w:r>
        <w:t>Repères : A04-C014, A04-C015, A04-C016.</w:t>
      </w:r>
    </w:p>
    <w:p>
      <w:pPr>
        <w:pStyle w:val="Heading2"/>
      </w:pPr>
      <w:r>
        <w:t>A04-SRC-006 | Comment consulter le cadastre ?</w:t>
      </w:r>
    </w:p>
    <w:p>
      <w:pPr>
        <w:keepNext/>
      </w:pPr>
      <w:hyperlink r:id="rId16">
        <w:r>
          <w:rPr>
            <w:color w:val="185848"/>
            <w:u w:val="single"/>
          </w:rPr>
          <w:t>Consulter : Comment consulter le cadastre ?</w:t>
        </w:r>
      </w:hyperlink>
    </w:p>
    <w:p>
      <w:pPr/>
      <w:r>
        <w:t>Repères : A04-C017, A04-C018, A04-C019.</w:t>
      </w:r>
    </w:p>
    <w:p>
      <w:pPr>
        <w:pStyle w:val="Heading2"/>
      </w:pPr>
      <w:r>
        <w:t>A04-SRC-007 | Géoportail de l'urbanisme — mode d'emploi</w:t>
      </w:r>
    </w:p>
    <w:p>
      <w:pPr>
        <w:keepNext/>
      </w:pPr>
      <w:hyperlink r:id="rId17">
        <w:r>
          <w:rPr>
            <w:color w:val="185848"/>
            <w:u w:val="single"/>
          </w:rPr>
          <w:t>Consulter : Géoportail de l'urbanisme — mode d'emploi</w:t>
        </w:r>
      </w:hyperlink>
    </w:p>
    <w:p>
      <w:pPr/>
      <w:r>
        <w:t>Repères : A04-C020, A04-C021, A04-C022.</w:t>
      </w:r>
    </w:p>
    <w:p>
      <w:pPr>
        <w:pStyle w:val="Heading2"/>
      </w:pPr>
      <w:r>
        <w:t>A04-SRC-008 | Diagnostics immobiliers à fournir en cas de vente d'un logement</w:t>
      </w:r>
    </w:p>
    <w:p>
      <w:pPr>
        <w:keepNext/>
      </w:pPr>
      <w:hyperlink r:id="rId18">
        <w:r>
          <w:rPr>
            <w:color w:val="185848"/>
            <w:u w:val="single"/>
          </w:rPr>
          <w:t>Consulter : Diagnostics immobiliers à fournir en cas de vente d'un logement</w:t>
        </w:r>
      </w:hyperlink>
    </w:p>
    <w:p>
      <w:pPr/>
      <w:r>
        <w:t>Repères : A04-C023, A04-C024, A04-C025.</w:t>
      </w:r>
    </w:p>
    <w:p>
      <w:pPr>
        <w:pStyle w:val="Heading2"/>
      </w:pPr>
      <w:r>
        <w:t>A04-SRC-009 | Information des acquéreurs et des locataires — état des risques</w:t>
      </w:r>
    </w:p>
    <w:p>
      <w:pPr>
        <w:keepNext/>
      </w:pPr>
      <w:hyperlink r:id="rId19">
        <w:r>
          <w:rPr>
            <w:color w:val="185848"/>
            <w:u w:val="single"/>
          </w:rPr>
          <w:t>Consulter : Information des acquéreurs et des locataires — état des risques</w:t>
        </w:r>
      </w:hyperlink>
    </w:p>
    <w:p>
      <w:pPr/>
      <w:r>
        <w:t>Repères : A04-C026, A04-C027, A04-C028.</w:t>
      </w:r>
    </w:p>
    <w:p>
      <w:pPr>
        <w:pStyle w:val="Heading2"/>
      </w:pPr>
      <w:r>
        <w:t>A04-SRC-010 | Vente d'un logement en copropriété</w:t>
      </w:r>
    </w:p>
    <w:p>
      <w:pPr>
        <w:keepNext/>
      </w:pPr>
      <w:hyperlink r:id="rId20">
        <w:r>
          <w:rPr>
            <w:color w:val="185848"/>
            <w:u w:val="single"/>
          </w:rPr>
          <w:t>Consulter : Vente d'un logement en copropriété</w:t>
        </w:r>
      </w:hyperlink>
    </w:p>
    <w:p>
      <w:pPr/>
      <w:r>
        <w:t>Repères : A04-C029, A04-C030, A04-C031, A04-C032.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color w:val="54615B"/>
        <w:sz w:val="16"/>
      </w:rPr>
      <w:t xml:space="preserve">A-04 | Annexes de mission | v0.1.0 | </w:t>
    </w:r>
    <w:fldSimple w:instr="PAGE"/>
    <w:r>
      <w:rPr>
        <w:color w:val="54615B"/>
        <w:sz w:val="16"/>
      </w:rPr>
      <w:t xml:space="preserve"> / </w:t>
    </w:r>
    <w:fldSimple w:instr="NUMPAGES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color w:val="9C4C15"/>
        <w:sz w:val="16"/>
      </w:rPr>
      <w:t>INSTITUT DE L'EXPERTISE EN BÂTIMENT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ind w:left="540" w:hanging="271"/>
        <w:tabs>
          <w:tab w:val="num" w:pos="540"/>
        </w:tabs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ind w:left="540" w:hanging="271"/>
        <w:tabs>
          <w:tab w:val="num" w:pos="540"/>
        </w:tabs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ind w:left="540" w:hanging="271"/>
        <w:tabs>
          <w:tab w:val="num" w:pos="540"/>
        </w:tabs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ind w:left="540" w:hanging="271"/>
        <w:tabs>
          <w:tab w:val="num" w:pos="540"/>
        </w:tabs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ind w:left="540" w:hanging="271"/>
        <w:tabs>
          <w:tab w:val="num" w:pos="540"/>
        </w:tabs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ind w:left="540" w:hanging="271"/>
        <w:tabs>
          <w:tab w:val="num" w:pos="540"/>
        </w:tabs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ind w:left="540" w:hanging="271"/>
        <w:tabs>
          <w:tab w:val="num" w:pos="540"/>
        </w:tabs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ind w:left="540" w:hanging="271"/>
        <w:tabs>
          <w:tab w:val="num" w:pos="540"/>
        </w:tabs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ind w:left="540" w:hanging="271"/>
        <w:tabs>
          <w:tab w:val="num" w:pos="540"/>
        </w:tabs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20" w:line="300" w:lineRule="auto"/>
    </w:pPr>
    <w:rPr>
      <w:rFonts w:ascii="Calibri" w:hAnsi="Calibri"/>
      <w:color w:val="203E37"/>
      <w:sz w:val="22"/>
      <w:lang w:val="fr-FR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360" w:after="200" w:line="300" w:lineRule="auto"/>
      <w:outlineLvl w:val="0"/>
    </w:pPr>
    <w:rPr>
      <w:rFonts w:asciiTheme="majorHAnsi" w:eastAsiaTheme="majorEastAsia" w:hAnsiTheme="majorHAnsi" w:cstheme="majorBidi" w:ascii="Calibri" w:hAnsi="Calibri"/>
      <w:b/>
      <w:bCs/>
      <w:color w:val="185848"/>
      <w:sz w:val="32"/>
      <w:szCs w:val="28"/>
      <w:lang w:val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280" w:after="140" w:line="300" w:lineRule="auto"/>
      <w:outlineLvl w:val="1"/>
    </w:pPr>
    <w:rPr>
      <w:rFonts w:asciiTheme="majorHAnsi" w:eastAsiaTheme="majorEastAsia" w:hAnsiTheme="majorHAnsi" w:cstheme="majorBidi" w:ascii="Calibri" w:hAnsi="Calibri"/>
      <w:b/>
      <w:bCs/>
      <w:color w:val="9C4C15"/>
      <w:sz w:val="26"/>
      <w:szCs w:val="26"/>
      <w:lang w:val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widowControl/>
      <w:spacing w:before="200" w:after="100" w:line="300" w:lineRule="auto"/>
      <w:outlineLvl w:val="2"/>
    </w:pPr>
    <w:rPr>
      <w:rFonts w:asciiTheme="majorHAnsi" w:eastAsiaTheme="majorEastAsia" w:hAnsiTheme="majorHAnsi" w:cstheme="majorBidi" w:ascii="Calibri" w:hAnsi="Calibri"/>
      <w:b/>
      <w:bCs/>
      <w:color w:val="185848"/>
      <w:sz w:val="24"/>
      <w:lang w:val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widowControl/>
      <w:pBdr>
        <w:bottom w:val="single" w:sz="8" w:space="4" w:color="4F81BD" w:themeColor="accent1"/>
      </w:pBdr>
      <w:spacing w:after="160" w:line="300" w:lineRule="auto" w:before="0"/>
      <w:contextualSpacing/>
    </w:pPr>
    <w:rPr>
      <w:rFonts w:asciiTheme="majorHAnsi" w:eastAsiaTheme="majorEastAsia" w:hAnsiTheme="majorHAnsi" w:cstheme="majorBidi" w:ascii="Calibri" w:hAnsi="Calibri"/>
      <w:color w:val="185848"/>
      <w:spacing w:val="5"/>
      <w:kern w:val="28"/>
      <w:sz w:val="52"/>
      <w:szCs w:val="52"/>
      <w:lang w:val="fr-F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widowControl/>
      <w:numPr>
        <w:numId w:val="1"/>
      </w:numPr>
      <w:spacing w:before="0" w:after="80" w:line="300" w:lineRule="auto"/>
      <w:ind w:left="540" w:hanging="271"/>
      <w:contextualSpacing/>
    </w:pPr>
    <w:rPr>
      <w:rFonts w:ascii="Calibri" w:hAnsi="Calibri"/>
      <w:color w:val="203E37"/>
      <w:sz w:val="22"/>
      <w:lang w:val="fr-FR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widowControl/>
      <w:spacing w:line="300" w:lineRule="auto" w:before="80" w:after="80"/>
    </w:pPr>
    <w:rPr>
      <w:rFonts w:ascii="Calibri" w:hAnsi="Calibri"/>
      <w:b/>
      <w:bCs/>
      <w:color w:val="54615B"/>
      <w:sz w:val="18"/>
      <w:szCs w:val="18"/>
      <w:lang w:val="fr-FR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service-public.gouv.fr/particuliers/vosdroits/F2954" TargetMode="External"/><Relationship Id="rId12" Type="http://schemas.openxmlformats.org/officeDocument/2006/relationships/hyperlink" Target="https://www.legifrance.gouv.fr/codes/article_lc/LEGIARTI000032042341" TargetMode="External"/><Relationship Id="rId13" Type="http://schemas.openxmlformats.org/officeDocument/2006/relationships/hyperlink" Target="https://bofip.impots.gouv.fr/bofip/11356-PGP.html/identifiant=BOI-PAT-IFI-20-30-10-20180608" TargetMode="External"/><Relationship Id="rId14" Type="http://schemas.openxmlformats.org/officeDocument/2006/relationships/hyperlink" Target="https://www.data.gouv.fr/datasets/demandes-de-valeurs-foncieres" TargetMode="External"/><Relationship Id="rId15" Type="http://schemas.openxmlformats.org/officeDocument/2006/relationships/hyperlink" Target="https://www.insee.fr/fr/metadonnees/source/indicateur/p1643/documentation-methodologique" TargetMode="External"/><Relationship Id="rId16" Type="http://schemas.openxmlformats.org/officeDocument/2006/relationships/hyperlink" Target="https://www.service-public.gouv.fr/particuliers/vosdroits/F14226" TargetMode="External"/><Relationship Id="rId17" Type="http://schemas.openxmlformats.org/officeDocument/2006/relationships/hyperlink" Target="https://www.ecologie.gouv.fr/politiques-publiques/geoportail-lurbanisme-mode-demploi" TargetMode="External"/><Relationship Id="rId18" Type="http://schemas.openxmlformats.org/officeDocument/2006/relationships/hyperlink" Target="https://www.service-public.gouv.fr/particuliers/vosdroits/F10798" TargetMode="External"/><Relationship Id="rId19" Type="http://schemas.openxmlformats.org/officeDocument/2006/relationships/hyperlink" Target="https://www.georisques.gouv.fr/information-des-acquereurs-et-locataires" TargetMode="External"/><Relationship Id="rId20" Type="http://schemas.openxmlformats.org/officeDocument/2006/relationships/hyperlink" Target="https://www.service-public.gouv.fr/particuliers/vosdroits/F26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Annexes de mission</dc:title>
  <dc:subject>A-04 Expertise immobilière</dc:subject>
  <dc:creator>Institut de l'Expertise en Bâtiment</dc:creator>
  <cp:keywords>A-04, expertise immobilière, scénario synthétique, pédagogie</cp:keywords>
  <dc:description/>
  <cp:lastModifiedBy>Institut de l'Expertise en Bâtiment</cp:lastModifiedBy>
  <cp:revision>1</cp:revision>
  <dcterms:created xsi:type="dcterms:W3CDTF">2013-12-23T23:15:00Z</dcterms:created>
  <dcterms:modified xsi:type="dcterms:W3CDTF">2013-12-23T23:15:00Z</dcterms:modified>
  <cp:category/>
  <dc:language>fr-FR</dc:language>
</cp:coreProperties>
</file>