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t>A-04 | EXPERTISE IMMOBILIÈRE</w:t>
      </w:r>
    </w:p>
    <w:p>
      <w:pPr>
        <w:pStyle w:val="Heading1"/>
      </w:pPr>
      <w:r>
        <w:t>Carnet de mission</w:t>
      </w:r>
    </w:p>
    <w:p>
      <w:pPr/>
      <w:r>
        <w:t>Les six productions de Résidence Belvédère</w:t>
      </w:r>
    </w:p>
    <w:p>
      <w:pPr/>
      <w:r>
        <w:t>Parcours de 240 minutes | Six unités | Version 0.1.0</w:t>
      </w:r>
    </w:p>
    <w:p>
      <w:pPr/>
      <w:r>
        <w:t>Résidence Belvédère est un scénario entièrement synthétique. Les unités pédagogiques (UP) ne correspondent à aucun marché réel.</w:t>
      </w:r>
    </w:p>
    <w:p>
      <w:pPr/>
      <w:r>
        <w:t>Usage : apprenant. Les activités de ces supports sont comprises dans les 240 minutes ; les 38 minutes d’évaluation ne s’ajoutent pas au parcours.</w:t>
      </w:r>
    </w:p>
    <w:p>
      <w:pPr/>
      <w:r>
        <w:t>Utilisez le support pour les apports, les annexes pour les données et ce carnet pour vos traces. Les activités et évaluations se déroulent dans le même sujet de 20 minutes. La note finale reprend la trame préparée au sujet 11 ; elle n’est pas un second rapport à créer.</w:t>
      </w:r>
    </w:p>
    <w:p>
      <w:pPr>
        <w:pStyle w:val="Heading2"/>
      </w:pPr>
      <w:r>
        <w:t>Les quatre objectifs</w:t>
      </w:r>
    </w:p>
    <w:p>
      <w:pPr/>
      <w:r>
        <w:t>A04-OBJ-01 | Cadrer la mission et sa preuve</w:t>
      </w:r>
    </w:p>
    <w:p>
      <w:pPr/>
      <w:r>
        <w:t>A04-OBJ-02 | Constituer un dossier fiable et observer avec méthode</w:t>
      </w:r>
    </w:p>
    <w:p>
      <w:pPr/>
      <w:r>
        <w:t>A04-OBJ-03 | Analyser le marché sans fausse précision</w:t>
      </w:r>
    </w:p>
    <w:p>
      <w:pPr/>
      <w:r>
        <w:t>A04-OBJ-04 | Réconcilier et communiquer une conclusion défendable</w:t>
      </w:r>
    </w:p>
    <w:p>
      <w:pPr>
        <w:pStyle w:val="Heading1"/>
        <w:pageBreakBefore/>
      </w:pPr>
      <w:r>
        <w:t>Sujet 01 | Mission et périmètre</w:t>
      </w:r>
    </w:p>
    <w:p>
      <w:pPr/>
      <w:r>
        <w:t>A04-U01 | 20 minutes, dont 3 minutes d’évaluation.</w:t>
      </w:r>
    </w:p>
    <w:p>
      <w:pPr/>
      <w:r>
        <w:t>Reformulez la demande du propriétaire fictif. Fixez qui commande, pour quelle décision, à quelle date, sur quels lots et pour quels destinataires.</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Donneur d’ordre et pouvoir</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Destinataires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Finalité et échéance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Date de valeur et date du rapport</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Bien, lots, cave et stationnement</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Livrable, limites et compétences</w:t>
            </w:r>
          </w:p>
        </w:tc>
        <w:tc>
          <w:tcPr>
            <w:tcW w:type="dxa" w:w="6048"/>
          </w:tcPr>
          <w:p>
            <w:pPr>
              <w:spacing w:before="0" w:after="80" w:line="269" w:lineRule="auto"/>
            </w:pPr>
            <w:r>
              <w:rPr>
                <w:b w:val="0"/>
                <w:sz w:val="18"/>
              </w:rPr>
            </w:r>
          </w:p>
        </w:tc>
      </w:tr>
    </w:tbl>
    <w:p>
      <w:pPr>
        <w:pStyle w:val="Heading2"/>
      </w:pPr>
      <w:r>
        <w:t>Évaluation 01 | 3 min | 2 points</w:t>
      </w:r>
    </w:p>
    <w:p>
      <w:pPr/>
      <w:r>
        <w:t>Une seule réponse. Quelle formulation cadre correctement la mission Belvédère ?</w:t>
      </w:r>
    </w:p>
    <w:p>
      <w:pPr/>
      <w:r>
        <w:t>A. Donner aujourd'hui le prix exact auquel le bien sera vendu.</w:t>
      </w:r>
    </w:p>
    <w:p>
      <w:pPr/>
      <w:r>
        <w:t>B. À une date fictive donnée, produire une plage en UP et comparer trois décisions à partir des droits prouvés, des pièces, de la visite et de références synthétiques.</w:t>
      </w:r>
    </w:p>
    <w:p>
      <w:pPr/>
      <w:r>
        <w:t>C. Certifier l'état technique et juridique de l'ensemble de la copropriété.</w:t>
      </w:r>
    </w:p>
    <w:p>
      <w:pPr/>
      <w:r>
        <w:t>D. Retenir toutes les annexes déclarées sans demander de pièce.</w:t>
      </w:r>
    </w:p>
    <w:p>
      <w:pPr>
        <w:keepNext/>
        <w:spacing w:before="100"/>
      </w:pPr>
      <w:r>
        <w:t>Votre réponse</w:t>
      </w:r>
    </w:p>
    <w:p>
      <w:pPr>
        <w:spacing w:after="160" w:line="360" w:lineRule="exact"/>
        <w:pBdr>
          <w:bottom w:val="single" w:sz="2" w:color="BEC9C2"/>
        </w:pBdr>
      </w:pPr>
      <w:r>
        <w:t xml:space="preserve"> </w:t>
      </w:r>
    </w:p>
    <w:p>
      <w:pPr/>
      <w:r>
        <w:t>Objectif : A04-OBJ-01 | IEB-QUESTION-A-04-0001</w:t>
      </w:r>
    </w:p>
    <w:p>
      <w:pPr/>
      <w:r>
        <w:t>Références : A04-C001, A04-C002, A04-C003.</w:t>
      </w:r>
    </w:p>
    <w:p>
      <w:pPr>
        <w:pStyle w:val="Heading1"/>
        <w:pageBreakBefore/>
      </w:pPr>
      <w:r>
        <w:t>Sujet 02 | Hypothèses et relais</w:t>
      </w:r>
    </w:p>
    <w:p>
      <w:pPr/>
      <w:r>
        <w:t>A04-U01 | 20 minutes, dont 3 minutes d’évaluation.</w:t>
      </w:r>
    </w:p>
    <w:p>
      <w:pPr/>
      <w:r>
        <w:t>Choisissez cinq informations du dossier. Séparez fait, déclaration, hypothèse, absence, incohérence et hors champ. Préparez un passage de relais.</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Information / source / statut</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Effet possible sur la décision</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Action / responsable / preuve de clôture</w:t>
            </w:r>
          </w:p>
        </w:tc>
        <w:tc>
          <w:tcPr>
            <w:tcW w:type="dxa" w:w="6048"/>
          </w:tcPr>
          <w:p>
            <w:pPr>
              <w:spacing w:before="0" w:after="80" w:line="269" w:lineRule="auto"/>
            </w:pPr>
            <w:r>
              <w:rPr>
                <w:b w:val="0"/>
                <w:sz w:val="18"/>
              </w:rPr>
            </w:r>
          </w:p>
        </w:tc>
      </w:tr>
    </w:tbl>
    <w:p>
      <w:pPr>
        <w:pStyle w:val="Heading2"/>
      </w:pPr>
      <w:r>
        <w:t>Évaluation 02 | 3 min | 2 points</w:t>
      </w:r>
    </w:p>
    <w:p>
      <w:pPr/>
      <w:r>
        <w:t>Plusieurs réponses. Quelles pratiques respectent la Chaîne de preuve immobilière IEB ?</w:t>
      </w:r>
    </w:p>
    <w:p>
      <w:pPr/>
      <w:r>
        <w:t>A. Attribuer chaque déclaration à son auteur et conserver sa date.</w:t>
      </w:r>
    </w:p>
    <w:p>
      <w:pPr/>
      <w:r>
        <w:t>B. Transformer une hypothèse plausible en fait pour ne pas retarder le rapport.</w:t>
      </w:r>
    </w:p>
    <w:p>
      <w:pPr/>
      <w:r>
        <w:t>C. Relier une information manquante à son effet possible sur la décision.</w:t>
      </w:r>
    </w:p>
    <w:p>
      <w:pPr/>
      <w:r>
        <w:t>D. Nommer le passage de relais lorsque la compétence ou l'accès manque.</w:t>
      </w:r>
    </w:p>
    <w:p>
      <w:pPr>
        <w:keepNext/>
        <w:spacing w:before="100"/>
      </w:pPr>
      <w:r>
        <w:t>Votre réponse</w:t>
      </w:r>
    </w:p>
    <w:p>
      <w:pPr>
        <w:spacing w:after="160" w:line="360" w:lineRule="exact"/>
        <w:pBdr>
          <w:bottom w:val="single" w:sz="2" w:color="BEC9C2"/>
        </w:pBdr>
      </w:pPr>
      <w:r>
        <w:t xml:space="preserve"> </w:t>
      </w:r>
    </w:p>
    <w:p>
      <w:pPr/>
      <w:r>
        <w:t>Objectif : A04-OBJ-01 | IEB-QUESTION-A-04-0002</w:t>
      </w:r>
    </w:p>
    <w:p>
      <w:pPr/>
      <w:r>
        <w:t>Références : A04-C004, A04-C005, A04-C006, IEB-A04-TOOL-EVIDENCE-CHAIN.</w:t>
      </w:r>
    </w:p>
    <w:p>
      <w:pPr>
        <w:pStyle w:val="Heading1"/>
        <w:pageBreakBefore/>
      </w:pPr>
      <w:r>
        <w:t>Sujet 03 | Carte du bien et index</w:t>
      </w:r>
    </w:p>
    <w:p>
      <w:pPr/>
      <w:r>
        <w:t>A04-U02 | 20 minutes, dont 2 minutes d’évaluation.</w:t>
      </w:r>
    </w:p>
    <w:p>
      <w:pPr/>
      <w:r>
        <w:t>Comparez titre, plan commercial, cadastre et urbanisme. Distinguez objet physique, droits, surfaces, risques et copropriété.</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Document / auteur / date / version</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Portée et incohérence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Ce qu’il permet de dire / ce qu’il ne prouve pas</w:t>
            </w:r>
          </w:p>
        </w:tc>
        <w:tc>
          <w:tcPr>
            <w:tcW w:type="dxa" w:w="6048"/>
          </w:tcPr>
          <w:p>
            <w:pPr>
              <w:spacing w:before="0" w:after="80" w:line="269" w:lineRule="auto"/>
            </w:pPr>
            <w:r>
              <w:rPr>
                <w:b w:val="0"/>
                <w:sz w:val="18"/>
              </w:rPr>
            </w:r>
          </w:p>
        </w:tc>
      </w:tr>
    </w:tbl>
    <w:p>
      <w:pPr>
        <w:pStyle w:val="Heading2"/>
      </w:pPr>
      <w:r>
        <w:t>Évaluation 03 | 2 min | 2 points</w:t>
      </w:r>
    </w:p>
    <w:p>
      <w:pPr/>
      <w:r>
        <w:t>Associer documents et usages. Associez chaque document à l'usage qui respecte sa portée.</w:t>
      </w:r>
    </w:p>
    <w:p>
      <w:pPr/>
      <w:r>
        <w:t>A. Plan cadastral fictif</w:t>
      </w:r>
    </w:p>
    <w:p>
      <w:pPr/>
      <w:r>
        <w:t>B. Titre fictif</w:t>
      </w:r>
    </w:p>
    <w:p>
      <w:pPr/>
      <w:r>
        <w:t>C. Document d'urbanisme consulté sur le GPU</w:t>
      </w:r>
    </w:p>
    <w:p>
      <w:pPr/>
      <w:r>
        <w:t>3. Qualifier zonage, prescriptions et servitudes en conservant version, date et autorité.</w:t>
      </w:r>
    </w:p>
    <w:p>
      <w:pPr/>
      <w:r>
        <w:t>1. Repérage dans une finalité fiscale, sans fixer une limite de propriété.</w:t>
      </w:r>
    </w:p>
    <w:p>
      <w:pPr/>
      <w:r>
        <w:t>2. Identifier les droits qu'il décrit, sous contrôle de la chaîne documentaire.</w:t>
      </w:r>
    </w:p>
    <w:p>
      <w:pPr>
        <w:keepNext/>
        <w:spacing w:before="100"/>
      </w:pPr>
      <w:r>
        <w:t>Votre réponse</w:t>
      </w:r>
    </w:p>
    <w:p>
      <w:pPr>
        <w:spacing w:after="160" w:line="360" w:lineRule="exact"/>
        <w:pBdr>
          <w:bottom w:val="single" w:sz="2" w:color="BEC9C2"/>
        </w:pBdr>
      </w:pPr>
      <w:r>
        <w:t xml:space="preserve"> </w:t>
      </w:r>
    </w:p>
    <w:p>
      <w:pPr/>
      <w:r>
        <w:t>Objectif : A04-OBJ-02 | IEB-QUESTION-A-04-0003</w:t>
      </w:r>
    </w:p>
    <w:p>
      <w:pPr/>
      <w:r>
        <w:t>Références : A04-C017, A04-C018, A04-C019, A04-C020, A04-C021, A04-C022.</w:t>
      </w:r>
    </w:p>
    <w:p>
      <w:pPr>
        <w:pStyle w:val="Heading1"/>
        <w:pageBreakBefore/>
      </w:pPr>
      <w:r>
        <w:t>Sujet 04 | Dossier documentaire</w:t>
      </w:r>
    </w:p>
    <w:p>
      <w:pPr/>
      <w:r>
        <w:t>A04-U02 | 20 minutes, dont 3 minutes d’évaluation.</w:t>
      </w:r>
    </w:p>
    <w:p>
      <w:pPr/>
      <w:r>
        <w:t>Indexez les dix fiches documentaires des annexes. Pour les cinq manques, précisez l’incidence et la preuve de clôture.</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Pièce manquante ou incomplète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Décision affectée / responsable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Solution provisoire / pièce pour clore</w:t>
            </w:r>
          </w:p>
        </w:tc>
        <w:tc>
          <w:tcPr>
            <w:tcW w:type="dxa" w:w="6048"/>
          </w:tcPr>
          <w:p>
            <w:pPr>
              <w:spacing w:before="0" w:after="80" w:line="269" w:lineRule="auto"/>
            </w:pPr>
            <w:r>
              <w:rPr>
                <w:b w:val="0"/>
                <w:sz w:val="18"/>
              </w:rPr>
            </w:r>
          </w:p>
        </w:tc>
      </w:tr>
    </w:tbl>
    <w:p>
      <w:pPr>
        <w:pStyle w:val="Heading2"/>
      </w:pPr>
      <w:r>
        <w:t>Évaluation 04 | 3 min | 2 points</w:t>
      </w:r>
    </w:p>
    <w:p>
      <w:pPr/>
      <w:r>
        <w:t>Réponse rédigée. En 70 à 100 mots, traitez le procès-verbal manquant, le DDT hétérogène et l'état des risques ancien sans conclure au-delà des pièces.</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A04-OBJ-02 | IEB-QUESTION-A-04-0004</w:t>
      </w:r>
    </w:p>
    <w:p>
      <w:pPr/>
      <w:r>
        <w:t>Références : A04-C023, A04-C024, A04-C025, A04-C026, A04-C027, A04-C029, A04-C030, A04-C031, A04-C032.</w:t>
      </w:r>
    </w:p>
    <w:p>
      <w:pPr>
        <w:pStyle w:val="Heading1"/>
        <w:pageBreakBefore/>
      </w:pPr>
      <w:r>
        <w:t>Sujet 05 | Visite reproductible</w:t>
      </w:r>
    </w:p>
    <w:p>
      <w:pPr/>
      <w:r>
        <w:t>A04-U03 | 20 minutes, dont 3 minutes d’évaluation.</w:t>
      </w:r>
    </w:p>
    <w:p>
      <w:pPr/>
      <w:r>
        <w:t>Préparez le parcours et les règles d’arrêt. Relisez les huit zones des annexes sans généraliser ce qui a été observé.</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Objet / zones / participants / traces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Limite d’accès et effet</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Arrêt ou orientation à prévoir</w:t>
            </w:r>
          </w:p>
        </w:tc>
        <w:tc>
          <w:tcPr>
            <w:tcW w:type="dxa" w:w="6048"/>
          </w:tcPr>
          <w:p>
            <w:pPr>
              <w:spacing w:before="0" w:after="80" w:line="269" w:lineRule="auto"/>
            </w:pPr>
            <w:r>
              <w:rPr>
                <w:b w:val="0"/>
                <w:sz w:val="18"/>
              </w:rPr>
            </w:r>
          </w:p>
        </w:tc>
      </w:tr>
    </w:tbl>
    <w:p>
      <w:pPr>
        <w:pStyle w:val="Heading2"/>
      </w:pPr>
      <w:r>
        <w:t>Évaluation 05 | 3 min | 2 points</w:t>
      </w:r>
    </w:p>
    <w:p>
      <w:pPr/>
      <w:r>
        <w:t>Classer dans l’ordre. Ordonnez la préparation et la clôture d'une visite reproductible.</w:t>
      </w:r>
    </w:p>
    <w:p>
      <w:pPr/>
      <w:r>
        <w:t>C. Consigner vu, mesuré, déclaré, inaccessible ou non recherché pendant le parcours.</w:t>
      </w:r>
    </w:p>
    <w:p>
      <w:pPr/>
      <w:r>
        <w:t>A. Définir l'objet, les zones, l'ordre et les règles d'arrêt.</w:t>
      </w:r>
    </w:p>
    <w:p>
      <w:pPr/>
      <w:r>
        <w:t>D. Relire le journal, signaler les zones non visitées et ouvrir les orientations nécessaires.</w:t>
      </w:r>
    </w:p>
    <w:p>
      <w:pPr/>
      <w:r>
        <w:t>B. Rapprocher les documents utiles et préparer les conventions de trace.</w:t>
      </w:r>
    </w:p>
    <w:p>
      <w:pPr>
        <w:keepNext/>
        <w:spacing w:before="100"/>
      </w:pPr>
      <w:r>
        <w:t>Votre réponse</w:t>
      </w:r>
    </w:p>
    <w:p>
      <w:pPr>
        <w:spacing w:after="160" w:line="360" w:lineRule="exact"/>
        <w:pBdr>
          <w:bottom w:val="single" w:sz="2" w:color="BEC9C2"/>
        </w:pBdr>
      </w:pPr>
      <w:r>
        <w:t xml:space="preserve"> </w:t>
      </w:r>
    </w:p>
    <w:p>
      <w:pPr/>
      <w:r>
        <w:t>Objectif : A04-OBJ-02 | IEB-QUESTION-A-04-0005</w:t>
      </w:r>
    </w:p>
    <w:p>
      <w:pPr/>
      <w:r>
        <w:t>Références : A04-C005, A04-C006, IEB-A04-TOOL-FSID.</w:t>
      </w:r>
    </w:p>
    <w:p>
      <w:pPr>
        <w:pStyle w:val="Heading1"/>
        <w:pageBreakBefore/>
      </w:pPr>
      <w:r>
        <w:t>Sujet 06 | Matrice FSID</w:t>
      </w:r>
    </w:p>
    <w:p>
      <w:pPr/>
      <w:r>
        <w:t>A04-U03 | 20 minutes, dont 3 minutes d’évaluation.</w:t>
      </w:r>
    </w:p>
    <w:p>
      <w:pPr/>
      <w:r>
        <w:t>Rédigez quatre lignes pour l’auréole, la fissure, le balcon et la toiture. Les hypothèses restent distinctes des observations.</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Type et fait / source / date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Limite / hypothèses possibles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Incidence / décision / relais</w:t>
            </w:r>
          </w:p>
        </w:tc>
        <w:tc>
          <w:tcPr>
            <w:tcW w:type="dxa" w:w="6048"/>
          </w:tcPr>
          <w:p>
            <w:pPr>
              <w:spacing w:before="0" w:after="80" w:line="269" w:lineRule="auto"/>
            </w:pPr>
            <w:r>
              <w:rPr>
                <w:b w:val="0"/>
                <w:sz w:val="18"/>
              </w:rPr>
            </w:r>
          </w:p>
        </w:tc>
      </w:tr>
    </w:tbl>
    <w:p>
      <w:pPr>
        <w:pStyle w:val="Heading2"/>
      </w:pPr>
      <w:r>
        <w:t>Évaluation 06 | 3 min | 3 points</w:t>
      </w:r>
    </w:p>
    <w:p>
      <w:pPr/>
      <w:r>
        <w:t>Analyse FSID. Rédigez une ligne FSID pour l'auréole sèche : fait, source, limite, deux hypothèses, incidence, décision et passage de relais.</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A04-OBJ-02 | IEB-QUESTION-A-04-0006</w:t>
      </w:r>
    </w:p>
    <w:p>
      <w:pPr/>
      <w:r>
        <w:t>Références : A04-C003, A04-C004, A04-C005, A04-C006, IEB-A04-TOOL-FSID.</w:t>
      </w:r>
    </w:p>
    <w:p>
      <w:pPr>
        <w:pStyle w:val="Heading1"/>
        <w:pageBreakBefore/>
      </w:pPr>
      <w:r>
        <w:t>Sujet 07 | Provenance des données</w:t>
      </w:r>
    </w:p>
    <w:p>
      <w:pPr/>
      <w:r>
        <w:t>A04-U04 | 20 minutes, dont 3 minutes d’évaluation.</w:t>
      </w:r>
    </w:p>
    <w:p>
      <w:pPr/>
      <w:r>
        <w:t>Préparez une fiche de provenance du jeu fictif. Expliquez ce qui distingue donnée de transaction, comparable et indice.</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Producteur / jeu / date / territoire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Filtres / transformation / information manquante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Usage permis / limite / contexte temporel</w:t>
            </w:r>
          </w:p>
        </w:tc>
        <w:tc>
          <w:tcPr>
            <w:tcW w:type="dxa" w:w="6048"/>
          </w:tcPr>
          <w:p>
            <w:pPr>
              <w:spacing w:before="0" w:after="80" w:line="269" w:lineRule="auto"/>
            </w:pPr>
            <w:r>
              <w:rPr>
                <w:b w:val="0"/>
                <w:sz w:val="18"/>
              </w:rPr>
            </w:r>
          </w:p>
        </w:tc>
      </w:tr>
    </w:tbl>
    <w:p>
      <w:pPr>
        <w:pStyle w:val="Heading2"/>
      </w:pPr>
      <w:r>
        <w:t>Évaluation 07 | 3 min | 2 points</w:t>
      </w:r>
    </w:p>
    <w:p>
      <w:pPr/>
      <w:r>
        <w:t>Plusieurs réponses. Quelles affirmations décrivent correctement DVF et les indices Notaires-Insee ?</w:t>
      </w:r>
    </w:p>
    <w:p>
      <w:pPr/>
      <w:r>
        <w:t>A. Une ligne DVF doit être datée et qualifiée avant d'être retenue comme comparable.</w:t>
      </w:r>
    </w:p>
    <w:p>
      <w:pPr/>
      <w:r>
        <w:t>B. Une mise à jour DVF peut ajouter des transactions à des millésimes antérieurs.</w:t>
      </w:r>
    </w:p>
    <w:p>
      <w:pPr/>
      <w:r>
        <w:t>C. Un indice Notaires-Insee donne directement la valeur individuelle du lot.</w:t>
      </w:r>
    </w:p>
    <w:p>
      <w:pPr/>
      <w:r>
        <w:t>D. Un modèle hédonique décrit une évolution à qualité constante, pas un coefficient universel d'ajustement.</w:t>
      </w:r>
    </w:p>
    <w:p>
      <w:pPr>
        <w:keepNext/>
        <w:spacing w:before="100"/>
      </w:pPr>
      <w:r>
        <w:t>Votre réponse</w:t>
      </w:r>
    </w:p>
    <w:p>
      <w:pPr>
        <w:spacing w:after="160" w:line="360" w:lineRule="exact"/>
        <w:pBdr>
          <w:bottom w:val="single" w:sz="2" w:color="BEC9C2"/>
        </w:pBdr>
      </w:pPr>
      <w:r>
        <w:t xml:space="preserve"> </w:t>
      </w:r>
    </w:p>
    <w:p>
      <w:pPr/>
      <w:r>
        <w:t>Objectif : A04-OBJ-03 | IEB-QUESTION-A-04-0007</w:t>
      </w:r>
    </w:p>
    <w:p>
      <w:pPr/>
      <w:r>
        <w:t>Références : A04-C010, A04-C011, A04-C012, A04-C013, A04-C014, A04-C015, A04-C016.</w:t>
      </w:r>
    </w:p>
    <w:p>
      <w:pPr>
        <w:pStyle w:val="Heading1"/>
        <w:pageBreakBefore/>
      </w:pPr>
      <w:r>
        <w:t>Sujet 08 | Comparabilité</w:t>
      </w:r>
    </w:p>
    <w:p>
      <w:pPr/>
      <w:r>
        <w:t>A04-U04 | 20 minutes, dont 2 minutes d’évaluation.</w:t>
      </w:r>
    </w:p>
    <w:p>
      <w:pPr/>
      <w:r>
        <w:t>Travaillez les douze dimensions de comparabilité pour les six références des annexes. Justifiez chaque maintien et chaque exclusion.</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Référence / dimensions proches ou différentes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Informations manquantes déterminantes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Décision / motif / réexamen</w:t>
            </w:r>
          </w:p>
        </w:tc>
        <w:tc>
          <w:tcPr>
            <w:tcW w:type="dxa" w:w="6048"/>
          </w:tcPr>
          <w:p>
            <w:pPr>
              <w:spacing w:before="0" w:after="80" w:line="269" w:lineRule="auto"/>
            </w:pPr>
            <w:r>
              <w:rPr>
                <w:b w:val="0"/>
                <w:sz w:val="18"/>
              </w:rPr>
            </w:r>
          </w:p>
        </w:tc>
      </w:tr>
    </w:tbl>
    <w:p>
      <w:pPr>
        <w:pStyle w:val="Heading2"/>
      </w:pPr>
      <w:r>
        <w:t>Évaluation 08 | 2 min | 3 points</w:t>
      </w:r>
    </w:p>
    <w:p>
      <w:pPr/>
      <w:r>
        <w:t>Classement motivé. Classez COMP-01 à COMP-06 en références retenues sous réserve ou exclues, puis motivez chaque exclusion en une phrase.</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A04-OBJ-03 | IEB-QUESTION-A-04-0008</w:t>
      </w:r>
    </w:p>
    <w:p>
      <w:pPr/>
      <w:r>
        <w:t>Références : A04-C007, A04-C008, A04-C009, A04-C013, IEB-A04-SYNTHETIC-MARKET-001.</w:t>
      </w:r>
    </w:p>
    <w:p>
      <w:pPr>
        <w:pStyle w:val="Heading1"/>
        <w:pageBreakBefore/>
      </w:pPr>
      <w:r>
        <w:t>Sujet 09 | Trois scénarios</w:t>
      </w:r>
    </w:p>
    <w:p>
      <w:pPr/>
      <w:r>
        <w:t>A04-U05 | 20 minutes, dont 3 minutes d’évaluation.</w:t>
      </w:r>
    </w:p>
    <w:p>
      <w:pPr/>
      <w:r>
        <w:t>Reliez droits, état, copropriété et marché à vendre maintenant, documenter puis vendre et conserver après travaux.</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Scénario / conditions d’entrée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Preuves et limites / décision</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Événement de sortie / nouvelle analyse</w:t>
            </w:r>
          </w:p>
        </w:tc>
        <w:tc>
          <w:tcPr>
            <w:tcW w:type="dxa" w:w="6048"/>
          </w:tcPr>
          <w:p>
            <w:pPr>
              <w:spacing w:before="0" w:after="80" w:line="269" w:lineRule="auto"/>
            </w:pPr>
            <w:r>
              <w:rPr>
                <w:b w:val="0"/>
                <w:sz w:val="18"/>
              </w:rPr>
            </w:r>
          </w:p>
        </w:tc>
      </w:tr>
    </w:tbl>
    <w:p>
      <w:pPr>
        <w:pStyle w:val="Heading2"/>
      </w:pPr>
      <w:r>
        <w:t>Évaluation 09 | 3 min | 3 points</w:t>
      </w:r>
    </w:p>
    <w:p>
      <w:pPr/>
      <w:r>
        <w:t>Analyse de scénarios. Reliez le stationnement non prouvé, le vote de façade incomplet et l'auréole non qualifiée aux trois scénarios Belvédère. Expliquez pourquoi aucun coût n'est soustrait automatiquement.</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A04-OBJ-04 | IEB-QUESTION-A-04-0009</w:t>
      </w:r>
    </w:p>
    <w:p>
      <w:pPr/>
      <w:r>
        <w:t>Références : A04-C026, A04-C027, A04-C028, A04-C029, A04-C030, A04-C031, A04-C032.</w:t>
      </w:r>
    </w:p>
    <w:p>
      <w:pPr>
        <w:pStyle w:val="Heading1"/>
        <w:pageBreakBefore/>
      </w:pPr>
      <w:r>
        <w:t>Sujet 10 | Sensibilité</w:t>
      </w:r>
    </w:p>
    <w:p>
      <w:pPr/>
      <w:r>
        <w:t>A04-U05 | 20 minutes, dont 5 minutes d’évaluation.</w:t>
      </w:r>
    </w:p>
    <w:p>
      <w:pPr/>
      <w:r>
        <w:t>Présentez une plage et un scénario central. Testez séparément les trois variables puis expliquez votre règle de non-cumul.</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Plage / scénario central / date / finalité</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Variable / preuve / incidence conditionnelle</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Déclencheur de mise à jour</w:t>
            </w:r>
          </w:p>
        </w:tc>
        <w:tc>
          <w:tcPr>
            <w:tcW w:type="dxa" w:w="6048"/>
          </w:tcPr>
          <w:p>
            <w:pPr>
              <w:spacing w:before="0" w:after="80" w:line="269" w:lineRule="auto"/>
            </w:pPr>
            <w:r>
              <w:rPr>
                <w:b w:val="0"/>
                <w:sz w:val="18"/>
              </w:rPr>
            </w:r>
          </w:p>
        </w:tc>
      </w:tr>
    </w:tbl>
    <w:p>
      <w:pPr>
        <w:pStyle w:val="Heading2"/>
      </w:pPr>
      <w:r>
        <w:t>Évaluation 10 | 5 min | 4 points</w:t>
      </w:r>
    </w:p>
    <w:p>
      <w:pPr/>
      <w:r>
        <w:t>Analyse de sensibilité. En 120 à 170 mots, présentez la plage, le scénario central et les trois sensibilités Belvédère sans fausse précision ni cumul automatique.</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A04-OBJ-03 | IEB-QUESTION-A-04-0010</w:t>
      </w:r>
    </w:p>
    <w:p>
      <w:pPr/>
      <w:r>
        <w:t>Références : A04-C007, A04-C009, A04-C013, A04-C016, IEB-A04-TOOL-SENSITIVITY.</w:t>
      </w:r>
    </w:p>
    <w:p>
      <w:pPr>
        <w:pStyle w:val="Heading1"/>
        <w:pageBreakBefore/>
      </w:pPr>
      <w:r>
        <w:t>Sujet 11 | Rapport traçable</w:t>
      </w:r>
    </w:p>
    <w:p>
      <w:pPr/>
      <w:r>
        <w:t>A04-U06 | 20 minutes, dont 4 minutes d’évaluation.</w:t>
      </w:r>
    </w:p>
    <w:p>
      <w:pPr/>
      <w:r>
        <w:t>Assemblez les productions selon les douze rubriques des annexes. Préparez la trame de votre note avant sa finalisation au sujet 12.</w:t>
      </w:r>
    </w:p>
    <w:p>
      <w:pPr>
        <w:pStyle w:val="Caption"/>
        <w:keepNext/>
      </w:pPr>
      <w:r>
        <w:t>Trace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312"/>
        <w:gridCol w:w="6048"/>
      </w:tblGrid>
      <w:tr>
        <w:trPr>
          <w:cantSplit/>
          <w:tblHeader/>
        </w:trPr>
        <w:tc>
          <w:tcPr>
            <w:tcW w:type="dxa" w:w="3312"/>
            <w:shd w:fill="E7EEE8"/>
          </w:tcPr>
          <w:p>
            <w:pPr>
              <w:spacing w:before="0" w:after="80" w:line="269" w:lineRule="auto"/>
            </w:pPr>
            <w:r>
              <w:rPr>
                <w:b/>
                <w:sz w:val="18"/>
              </w:rPr>
              <w:t>Champ</w:t>
            </w:r>
          </w:p>
        </w:tc>
        <w:tc>
          <w:tcPr>
            <w:tcW w:type="dxa" w:w="6048"/>
            <w:shd w:fill="E7EEE8"/>
          </w:tcPr>
          <w:p>
            <w:pPr>
              <w:spacing w:before="0" w:after="80" w:line="269" w:lineRule="auto"/>
            </w:pPr>
            <w:r>
              <w:rPr>
                <w:b/>
                <w:sz w:val="18"/>
              </w:rPr>
              <w:t>Votre trace</w:t>
            </w:r>
          </w:p>
        </w:tc>
      </w:tr>
      <w:tr>
        <w:trPr>
          <w:cantSplit/>
        </w:trPr>
        <w:tc>
          <w:tcPr>
            <w:tcW w:type="dxa" w:w="3312"/>
          </w:tcPr>
          <w:p>
            <w:pPr>
              <w:spacing w:before="0" w:after="80" w:line="269" w:lineRule="auto"/>
            </w:pPr>
            <w:r>
              <w:rPr>
                <w:b w:val="0"/>
                <w:sz w:val="18"/>
              </w:rPr>
              <w:t>Index de cinq preuves</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Six points de contrôle du rapport</w:t>
            </w:r>
          </w:p>
        </w:tc>
        <w:tc>
          <w:tcPr>
            <w:tcW w:type="dxa" w:w="6048"/>
          </w:tcPr>
          <w:p>
            <w:pPr>
              <w:spacing w:before="0" w:after="80" w:line="269" w:lineRule="auto"/>
            </w:pPr>
            <w:r>
              <w:rPr>
                <w:b w:val="0"/>
                <w:sz w:val="18"/>
              </w:rPr>
            </w:r>
          </w:p>
        </w:tc>
      </w:tr>
      <w:tr>
        <w:trPr>
          <w:cantSplit/>
        </w:trPr>
        <w:tc>
          <w:tcPr>
            <w:tcW w:type="dxa" w:w="3312"/>
          </w:tcPr>
          <w:p>
            <w:pPr>
              <w:spacing w:before="0" w:after="80" w:line="269" w:lineRule="auto"/>
            </w:pPr>
            <w:r>
              <w:rPr>
                <w:b w:val="0"/>
                <w:sz w:val="18"/>
              </w:rPr>
              <w:t>Trame de la note : question, preuves, limites, actions</w:t>
            </w:r>
          </w:p>
        </w:tc>
        <w:tc>
          <w:tcPr>
            <w:tcW w:type="dxa" w:w="6048"/>
          </w:tcPr>
          <w:p>
            <w:pPr>
              <w:spacing w:before="0" w:after="80" w:line="269" w:lineRule="auto"/>
            </w:pPr>
            <w:r>
              <w:rPr>
                <w:b w:val="0"/>
                <w:sz w:val="18"/>
              </w:rPr>
            </w:r>
          </w:p>
        </w:tc>
      </w:tr>
    </w:tbl>
    <w:p>
      <w:pPr>
        <w:pStyle w:val="Heading2"/>
      </w:pPr>
      <w:r>
        <w:t>Évaluation 11 | 4 min | 3 points</w:t>
      </w:r>
    </w:p>
    <w:p>
      <w:pPr/>
      <w:r>
        <w:t>Audit de rapport. Auditez un rapport fictif qui affiche seulement 305 000 UP, valorise le stationnement déclaré et place les limites en annexe. Nommez six corrections nécessaires.</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A04-OBJ-04 | IEB-QUESTION-A-04-0011</w:t>
      </w:r>
    </w:p>
    <w:p>
      <w:pPr/>
      <w:r>
        <w:t>Références : A04-C001, A04-C002, A04-C003, A04-C004, A04-C005, A04-C006, A04-C013, A04-C016.</w:t>
      </w:r>
    </w:p>
    <w:p>
      <w:pPr>
        <w:pStyle w:val="Heading1"/>
        <w:pageBreakBefore/>
      </w:pPr>
      <w:r>
        <w:t>Sujet 12 | Note de décision</w:t>
      </w:r>
    </w:p>
    <w:p>
      <w:pPr/>
      <w:r>
        <w:t>A04-U06 | 20 minutes, dont 4 minutes d’évaluation.</w:t>
      </w:r>
    </w:p>
    <w:p>
      <w:pPr/>
      <w:r>
        <w:t>Réutilisez la trame préparée. Choisissez votre angle métier sans modifier les preuves communes.</w:t>
      </w:r>
    </w:p>
    <w:p>
      <w:pPr/>
      <w:r>
        <w:t>Agent immobilier : positionner et informer. Gestionnaire de patrimoine : comparer les trois scénarios. Syndic : qualifier les pièces communes. Expert bâtiment : relier constats, limites et décision.</w:t>
      </w:r>
    </w:p>
    <w:p>
      <w:pPr>
        <w:pStyle w:val="Heading2"/>
      </w:pPr>
      <w:r>
        <w:t>Évaluation 12 | 4 min | 4 points</w:t>
      </w:r>
    </w:p>
    <w:p>
      <w:pPr/>
      <w:r>
        <w:t>Note de décision. Rédigez en 220 à 300 mots la note de décision Belvédère : question, date, droits retenus, plage, scénario central, preuves, incertitudes, recommandation, relais et événements de réouverture.</w:t>
      </w:r>
    </w:p>
    <w:p>
      <w:pPr>
        <w:keepNext/>
        <w:spacing w:before="100"/>
      </w:pPr>
      <w:r>
        <w:t>Votre réponse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r>
        <w:t>Objectif : A04-OBJ-04 | IEB-QUESTION-A-04-0012</w:t>
      </w:r>
    </w:p>
    <w:p>
      <w:pPr/>
      <w:r>
        <w:t>Références : A04-C001, A04-C002, A04-C004, A04-C005, A04-C006, A04-C013, A04-C016, A04-C028, A04-C032, IEB-A04-TOOL-REPORT.</w:t>
      </w:r>
    </w:p>
    <w:p>
      <w:pPr>
        <w:pStyle w:val="Heading1"/>
        <w:pageBreakBefore/>
      </w:pPr>
      <w:r>
        <w:t>Compléments aux traces de travail</w:t>
      </w:r>
    </w:p>
    <w:p>
      <w:pPr/>
      <w:r>
        <w:t>Ces grilles complètent les espaces précédents ; elles ne constituent pas une activité supplémentaire.</w:t>
      </w:r>
    </w:p>
    <w:p>
      <w:pPr>
        <w:pStyle w:val="Caption"/>
        <w:keepNext/>
      </w:pPr>
      <w:r>
        <w:t>Index documentaire à remplir</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440"/>
        <w:gridCol w:w="3888"/>
        <w:gridCol w:w="4032"/>
      </w:tblGrid>
      <w:tr>
        <w:trPr>
          <w:cantSplit/>
          <w:tblHeader/>
        </w:trPr>
        <w:tc>
          <w:tcPr>
            <w:tcW w:type="dxa" w:w="1440"/>
            <w:shd w:fill="E7EEE8"/>
          </w:tcPr>
          <w:p>
            <w:pPr>
              <w:spacing w:before="0" w:after="80" w:line="269" w:lineRule="auto"/>
            </w:pPr>
            <w:r>
              <w:rPr>
                <w:b/>
                <w:sz w:val="18"/>
              </w:rPr>
              <w:t>Pièce</w:t>
            </w:r>
          </w:p>
        </w:tc>
        <w:tc>
          <w:tcPr>
            <w:tcW w:type="dxa" w:w="3888"/>
            <w:shd w:fill="E7EEE8"/>
          </w:tcPr>
          <w:p>
            <w:pPr>
              <w:spacing w:before="0" w:after="80" w:line="269" w:lineRule="auto"/>
            </w:pPr>
            <w:r>
              <w:rPr>
                <w:b/>
                <w:sz w:val="18"/>
              </w:rPr>
              <w:t>Date / version / portée</w:t>
            </w:r>
          </w:p>
        </w:tc>
        <w:tc>
          <w:tcPr>
            <w:tcW w:type="dxa" w:w="4032"/>
            <w:shd w:fill="E7EEE8"/>
          </w:tcPr>
          <w:p>
            <w:pPr>
              <w:spacing w:before="0" w:after="80" w:line="269" w:lineRule="auto"/>
            </w:pPr>
            <w:r>
              <w:rPr>
                <w:b/>
                <w:sz w:val="18"/>
              </w:rPr>
              <w:t>Statut / action</w:t>
            </w:r>
          </w:p>
        </w:tc>
      </w:tr>
      <w:tr>
        <w:trPr>
          <w:cantSplit/>
        </w:trPr>
        <w:tc>
          <w:tcPr>
            <w:tcW w:type="dxa" w:w="1440"/>
          </w:tcPr>
          <w:p>
            <w:pPr>
              <w:spacing w:before="0" w:after="80" w:line="269" w:lineRule="auto"/>
            </w:pPr>
            <w:r>
              <w:rPr>
                <w:b w:val="0"/>
                <w:sz w:val="18"/>
              </w:rPr>
              <w:t>DOC-001</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DOC-002</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DOC-003</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DOC-004</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DOC-005</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DOC-006</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DOC-007</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DOC-008</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DOC-009</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DOC-010</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bl>
    <w:p>
      <w:pPr>
        <w:pStyle w:val="Caption"/>
        <w:keepNext/>
      </w:pPr>
      <w:r>
        <w:t>Registre des cinq manques</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440"/>
        <w:gridCol w:w="3888"/>
        <w:gridCol w:w="4032"/>
      </w:tblGrid>
      <w:tr>
        <w:trPr>
          <w:cantSplit/>
          <w:tblHeader/>
        </w:trPr>
        <w:tc>
          <w:tcPr>
            <w:tcW w:type="dxa" w:w="1440"/>
            <w:shd w:fill="E7EEE8"/>
          </w:tcPr>
          <w:p>
            <w:pPr>
              <w:spacing w:before="0" w:after="80" w:line="269" w:lineRule="auto"/>
            </w:pPr>
            <w:r>
              <w:rPr>
                <w:b/>
                <w:sz w:val="18"/>
              </w:rPr>
              <w:t>Manque</w:t>
            </w:r>
          </w:p>
        </w:tc>
        <w:tc>
          <w:tcPr>
            <w:tcW w:type="dxa" w:w="3888"/>
            <w:shd w:fill="E7EEE8"/>
          </w:tcPr>
          <w:p>
            <w:pPr>
              <w:spacing w:before="0" w:after="80" w:line="269" w:lineRule="auto"/>
            </w:pPr>
            <w:r>
              <w:rPr>
                <w:b/>
                <w:sz w:val="18"/>
              </w:rPr>
              <w:t>Effet / solution provisoire</w:t>
            </w:r>
          </w:p>
        </w:tc>
        <w:tc>
          <w:tcPr>
            <w:tcW w:type="dxa" w:w="4032"/>
            <w:shd w:fill="E7EEE8"/>
          </w:tcPr>
          <w:p>
            <w:pPr>
              <w:spacing w:before="0" w:after="80" w:line="269" w:lineRule="auto"/>
            </w:pPr>
            <w:r>
              <w:rPr>
                <w:b/>
                <w:sz w:val="18"/>
              </w:rPr>
              <w:t>Responsable / clôture</w:t>
            </w:r>
          </w:p>
        </w:tc>
      </w:tr>
      <w:tr>
        <w:trPr>
          <w:cantSplit/>
        </w:trPr>
        <w:tc>
          <w:tcPr>
            <w:tcW w:type="dxa" w:w="1440"/>
          </w:tcPr>
          <w:p>
            <w:pPr>
              <w:spacing w:before="0" w:after="80" w:line="269" w:lineRule="auto"/>
            </w:pPr>
            <w:r>
              <w:rPr>
                <w:b w:val="0"/>
                <w:sz w:val="18"/>
              </w:rPr>
              <w:t>MISS-001</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MISS-002</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MISS-003</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MISS-004</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r>
        <w:trPr>
          <w:cantSplit/>
        </w:trPr>
        <w:tc>
          <w:tcPr>
            <w:tcW w:type="dxa" w:w="1440"/>
          </w:tcPr>
          <w:p>
            <w:pPr>
              <w:spacing w:before="0" w:after="80" w:line="269" w:lineRule="auto"/>
            </w:pPr>
            <w:r>
              <w:rPr>
                <w:b w:val="0"/>
                <w:sz w:val="18"/>
              </w:rPr>
              <w:t>MISS-005</w:t>
            </w:r>
          </w:p>
        </w:tc>
        <w:tc>
          <w:tcPr>
            <w:tcW w:type="dxa" w:w="3888"/>
          </w:tcPr>
          <w:p>
            <w:pPr>
              <w:spacing w:before="0" w:after="80" w:line="269" w:lineRule="auto"/>
            </w:pPr>
            <w:r>
              <w:rPr>
                <w:b w:val="0"/>
                <w:sz w:val="18"/>
              </w:rPr>
            </w:r>
          </w:p>
        </w:tc>
        <w:tc>
          <w:tcPr>
            <w:tcW w:type="dxa" w:w="4032"/>
          </w:tcPr>
          <w:p>
            <w:pPr>
              <w:spacing w:before="0" w:after="80" w:line="269" w:lineRule="auto"/>
            </w:pPr>
            <w:r>
              <w:rPr>
                <w:b w:val="0"/>
                <w:sz w:val="18"/>
              </w:rPr>
            </w:r>
          </w:p>
        </w:tc>
      </w:tr>
    </w:tbl>
    <w:p>
      <w:pPr>
        <w:pStyle w:val="Heading1"/>
        <w:pageBreakBefore/>
      </w:pPr>
      <w:r>
        <w:t>Comparabilité et passages de relais</w:t>
      </w:r>
    </w:p>
    <w:p>
      <w:pPr/>
      <w:r>
        <w:t>Dimensions : usage ; localisation relative ; date ; bâtiment ; étage et accessibilité ; surface ; état ; occupation ; annexes ; droits ; copropriété ; conditions de transaction.</w:t>
      </w:r>
    </w:p>
    <w:p>
      <w:pPr>
        <w:pStyle w:val="Caption"/>
        <w:keepNext/>
      </w:pPr>
      <w:r>
        <w:t>Décisions sur les six références</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440"/>
        <w:gridCol w:w="4320"/>
        <w:gridCol w:w="3600"/>
      </w:tblGrid>
      <w:tr>
        <w:trPr>
          <w:cantSplit/>
          <w:tblHeader/>
        </w:trPr>
        <w:tc>
          <w:tcPr>
            <w:tcW w:type="dxa" w:w="1440"/>
            <w:shd w:fill="E7EEE8"/>
          </w:tcPr>
          <w:p>
            <w:pPr>
              <w:spacing w:before="0" w:after="80" w:line="269" w:lineRule="auto"/>
            </w:pPr>
            <w:r>
              <w:rPr>
                <w:b/>
                <w:sz w:val="18"/>
              </w:rPr>
              <w:t>Référence</w:t>
            </w:r>
          </w:p>
        </w:tc>
        <w:tc>
          <w:tcPr>
            <w:tcW w:type="dxa" w:w="4320"/>
            <w:shd w:fill="E7EEE8"/>
          </w:tcPr>
          <w:p>
            <w:pPr>
              <w:spacing w:before="0" w:after="80" w:line="269" w:lineRule="auto"/>
            </w:pPr>
            <w:r>
              <w:rPr>
                <w:b/>
                <w:sz w:val="18"/>
              </w:rPr>
              <w:t>Proximité / différences / inconnues</w:t>
            </w:r>
          </w:p>
        </w:tc>
        <w:tc>
          <w:tcPr>
            <w:tcW w:type="dxa" w:w="3600"/>
            <w:shd w:fill="E7EEE8"/>
          </w:tcPr>
          <w:p>
            <w:pPr>
              <w:spacing w:before="0" w:after="80" w:line="269" w:lineRule="auto"/>
            </w:pPr>
            <w:r>
              <w:rPr>
                <w:b/>
                <w:sz w:val="18"/>
              </w:rPr>
              <w:t>Décision et motif</w:t>
            </w:r>
          </w:p>
        </w:tc>
      </w:tr>
      <w:tr>
        <w:trPr>
          <w:cantSplit/>
        </w:trPr>
        <w:tc>
          <w:tcPr>
            <w:tcW w:type="dxa" w:w="1440"/>
          </w:tcPr>
          <w:p>
            <w:pPr>
              <w:spacing w:before="0" w:after="80" w:line="269" w:lineRule="auto"/>
            </w:pPr>
            <w:r>
              <w:rPr>
                <w:b w:val="0"/>
                <w:sz w:val="18"/>
              </w:rPr>
              <w:t>COMP-01</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r>
        <w:trPr>
          <w:cantSplit/>
        </w:trPr>
        <w:tc>
          <w:tcPr>
            <w:tcW w:type="dxa" w:w="1440"/>
          </w:tcPr>
          <w:p>
            <w:pPr>
              <w:spacing w:before="0" w:after="80" w:line="269" w:lineRule="auto"/>
            </w:pPr>
            <w:r>
              <w:rPr>
                <w:b w:val="0"/>
                <w:sz w:val="18"/>
              </w:rPr>
              <w:t>COMP-02</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r>
        <w:trPr>
          <w:cantSplit/>
        </w:trPr>
        <w:tc>
          <w:tcPr>
            <w:tcW w:type="dxa" w:w="1440"/>
          </w:tcPr>
          <w:p>
            <w:pPr>
              <w:spacing w:before="0" w:after="80" w:line="269" w:lineRule="auto"/>
            </w:pPr>
            <w:r>
              <w:rPr>
                <w:b w:val="0"/>
                <w:sz w:val="18"/>
              </w:rPr>
              <w:t>COMP-03</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r>
        <w:trPr>
          <w:cantSplit/>
        </w:trPr>
        <w:tc>
          <w:tcPr>
            <w:tcW w:type="dxa" w:w="1440"/>
          </w:tcPr>
          <w:p>
            <w:pPr>
              <w:spacing w:before="0" w:after="80" w:line="269" w:lineRule="auto"/>
            </w:pPr>
            <w:r>
              <w:rPr>
                <w:b w:val="0"/>
                <w:sz w:val="18"/>
              </w:rPr>
              <w:t>COMP-04</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r>
        <w:trPr>
          <w:cantSplit/>
        </w:trPr>
        <w:tc>
          <w:tcPr>
            <w:tcW w:type="dxa" w:w="1440"/>
          </w:tcPr>
          <w:p>
            <w:pPr>
              <w:spacing w:before="0" w:after="80" w:line="269" w:lineRule="auto"/>
            </w:pPr>
            <w:r>
              <w:rPr>
                <w:b w:val="0"/>
                <w:sz w:val="18"/>
              </w:rPr>
              <w:t>COMP-05</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r>
        <w:trPr>
          <w:cantSplit/>
        </w:trPr>
        <w:tc>
          <w:tcPr>
            <w:tcW w:type="dxa" w:w="1440"/>
          </w:tcPr>
          <w:p>
            <w:pPr>
              <w:spacing w:before="0" w:after="80" w:line="269" w:lineRule="auto"/>
            </w:pPr>
            <w:r>
              <w:rPr>
                <w:b w:val="0"/>
                <w:sz w:val="18"/>
              </w:rPr>
              <w:t>COMP-06</w:t>
            </w:r>
          </w:p>
        </w:tc>
        <w:tc>
          <w:tcPr>
            <w:tcW w:type="dxa" w:w="4320"/>
          </w:tcPr>
          <w:p>
            <w:pPr>
              <w:spacing w:before="0" w:after="80" w:line="269" w:lineRule="auto"/>
            </w:pPr>
            <w:r>
              <w:rPr>
                <w:b w:val="0"/>
                <w:sz w:val="18"/>
              </w:rPr>
            </w:r>
          </w:p>
        </w:tc>
        <w:tc>
          <w:tcPr>
            <w:tcW w:type="dxa" w:w="3600"/>
          </w:tcPr>
          <w:p>
            <w:pPr>
              <w:spacing w:before="0" w:after="80" w:line="269" w:lineRule="auto"/>
            </w:pPr>
            <w:r>
              <w:rPr>
                <w:b w:val="0"/>
                <w:sz w:val="18"/>
              </w:rPr>
            </w:r>
          </w:p>
        </w:tc>
      </w:tr>
    </w:tbl>
    <w:p>
      <w:pPr>
        <w:pStyle w:val="Caption"/>
        <w:keepNext/>
      </w:pPr>
      <w:r>
        <w:t>Passages de relais</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3168"/>
        <w:gridCol w:w="3024"/>
        <w:gridCol w:w="3168"/>
      </w:tblGrid>
      <w:tr>
        <w:trPr>
          <w:cantSplit/>
          <w:tblHeader/>
        </w:trPr>
        <w:tc>
          <w:tcPr>
            <w:tcW w:type="dxa" w:w="3168"/>
            <w:shd w:fill="E7EEE8"/>
          </w:tcPr>
          <w:p>
            <w:pPr>
              <w:spacing w:before="0" w:after="80" w:line="269" w:lineRule="auto"/>
            </w:pPr>
            <w:r>
              <w:rPr>
                <w:b/>
                <w:sz w:val="18"/>
              </w:rPr>
              <w:t>Question / motif</w:t>
            </w:r>
          </w:p>
        </w:tc>
        <w:tc>
          <w:tcPr>
            <w:tcW w:type="dxa" w:w="3024"/>
            <w:shd w:fill="E7EEE8"/>
          </w:tcPr>
          <w:p>
            <w:pPr>
              <w:spacing w:before="0" w:after="80" w:line="269" w:lineRule="auto"/>
            </w:pPr>
            <w:r>
              <w:rPr>
                <w:b/>
                <w:sz w:val="18"/>
              </w:rPr>
              <w:t>Destinataire / pièce</w:t>
            </w:r>
          </w:p>
        </w:tc>
        <w:tc>
          <w:tcPr>
            <w:tcW w:type="dxa" w:w="3168"/>
            <w:shd w:fill="E7EEE8"/>
          </w:tcPr>
          <w:p>
            <w:pPr>
              <w:spacing w:before="0" w:after="80" w:line="269" w:lineRule="auto"/>
            </w:pPr>
            <w:r>
              <w:rPr>
                <w:b/>
                <w:sz w:val="18"/>
              </w:rPr>
              <w:t>Délai / effet / clôture</w:t>
            </w:r>
          </w:p>
        </w:tc>
      </w:tr>
      <w:tr>
        <w:trPr>
          <w:cantSplit/>
        </w:trPr>
        <w:tc>
          <w:tcPr>
            <w:tcW w:type="dxa" w:w="3168"/>
          </w:tcPr>
          <w:p>
            <w:pPr>
              <w:spacing w:before="0" w:after="80" w:line="269" w:lineRule="auto"/>
            </w:pPr>
            <w:r>
              <w:rPr>
                <w:b w:val="0"/>
                <w:sz w:val="18"/>
              </w:rPr>
            </w:r>
          </w:p>
        </w:tc>
        <w:tc>
          <w:tcPr>
            <w:tcW w:type="dxa" w:w="3024"/>
          </w:tcPr>
          <w:p>
            <w:pPr>
              <w:spacing w:before="0" w:after="80" w:line="269" w:lineRule="auto"/>
            </w:pPr>
            <w:r>
              <w:rPr>
                <w:b w:val="0"/>
                <w:sz w:val="18"/>
              </w:rPr>
            </w:r>
          </w:p>
        </w:tc>
        <w:tc>
          <w:tcPr>
            <w:tcW w:type="dxa" w:w="3168"/>
          </w:tcPr>
          <w:p>
            <w:pPr>
              <w:spacing w:before="0" w:after="80" w:line="269" w:lineRule="auto"/>
            </w:pPr>
            <w:r>
              <w:rPr>
                <w:b w:val="0"/>
                <w:sz w:val="18"/>
              </w:rPr>
            </w:r>
          </w:p>
        </w:tc>
      </w:tr>
      <w:tr>
        <w:trPr>
          <w:cantSplit/>
        </w:trPr>
        <w:tc>
          <w:tcPr>
            <w:tcW w:type="dxa" w:w="3168"/>
          </w:tcPr>
          <w:p>
            <w:pPr>
              <w:spacing w:before="0" w:after="80" w:line="269" w:lineRule="auto"/>
            </w:pPr>
            <w:r>
              <w:rPr>
                <w:b w:val="0"/>
                <w:sz w:val="18"/>
              </w:rPr>
            </w:r>
          </w:p>
        </w:tc>
        <w:tc>
          <w:tcPr>
            <w:tcW w:type="dxa" w:w="3024"/>
          </w:tcPr>
          <w:p>
            <w:pPr>
              <w:spacing w:before="0" w:after="80" w:line="269" w:lineRule="auto"/>
            </w:pPr>
            <w:r>
              <w:rPr>
                <w:b w:val="0"/>
                <w:sz w:val="18"/>
              </w:rPr>
            </w:r>
          </w:p>
        </w:tc>
        <w:tc>
          <w:tcPr>
            <w:tcW w:type="dxa" w:w="3168"/>
          </w:tcPr>
          <w:p>
            <w:pPr>
              <w:spacing w:before="0" w:after="80" w:line="269" w:lineRule="auto"/>
            </w:pPr>
            <w:r>
              <w:rPr>
                <w:b w:val="0"/>
                <w:sz w:val="18"/>
              </w:rPr>
            </w:r>
          </w:p>
        </w:tc>
      </w:tr>
      <w:tr>
        <w:trPr>
          <w:cantSplit/>
        </w:trPr>
        <w:tc>
          <w:tcPr>
            <w:tcW w:type="dxa" w:w="3168"/>
          </w:tcPr>
          <w:p>
            <w:pPr>
              <w:spacing w:before="0" w:after="80" w:line="269" w:lineRule="auto"/>
            </w:pPr>
            <w:r>
              <w:rPr>
                <w:b w:val="0"/>
                <w:sz w:val="18"/>
              </w:rPr>
            </w:r>
          </w:p>
        </w:tc>
        <w:tc>
          <w:tcPr>
            <w:tcW w:type="dxa" w:w="3024"/>
          </w:tcPr>
          <w:p>
            <w:pPr>
              <w:spacing w:before="0" w:after="80" w:line="269" w:lineRule="auto"/>
            </w:pPr>
            <w:r>
              <w:rPr>
                <w:b w:val="0"/>
                <w:sz w:val="18"/>
              </w:rPr>
            </w:r>
          </w:p>
        </w:tc>
        <w:tc>
          <w:tcPr>
            <w:tcW w:type="dxa" w:w="3168"/>
          </w:tcPr>
          <w:p>
            <w:pPr>
              <w:spacing w:before="0" w:after="80" w:line="269" w:lineRule="auto"/>
            </w:pPr>
            <w:r>
              <w:rPr>
                <w:b w:val="0"/>
                <w:sz w:val="18"/>
              </w:rPr>
            </w:r>
          </w:p>
        </w:tc>
      </w:tr>
    </w:tbl>
    <w:p>
      <w:pPr>
        <w:pStyle w:val="Heading2"/>
      </w:pPr>
      <w:r>
        <w:t>Bilan personnel</w:t>
      </w:r>
    </w:p>
    <w:p>
      <w:pPr>
        <w:keepNext/>
        <w:spacing w:before="100"/>
      </w:pPr>
      <w:r>
        <w:t>Ce que je peux défendre, ce qui reste conditionnel, ce qui rouvrirait mon analyse.</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0" w:line="360" w:lineRule="exact"/>
        <w:pBdr>
          <w:bottom w:val="single" w:sz="2" w:color="BEC9C2"/>
        </w:pBdr>
      </w:pPr>
      <w:r>
        <w:t xml:space="preserve"> </w:t>
      </w:r>
    </w:p>
    <w:p>
      <w:pPr>
        <w:spacing w:after="160" w:line="360" w:lineRule="exact"/>
        <w:pBdr>
          <w:bottom w:val="single" w:sz="2" w:color="BEC9C2"/>
        </w:pBdr>
      </w:pPr>
      <w:r>
        <w:t xml:space="preserve"> </w:t>
      </w:r>
    </w:p>
    <w:p>
      <w:pPr>
        <w:pStyle w:val="Heading1"/>
        <w:pageBreakBefore/>
      </w:pPr>
      <w:r>
        <w:t>Sources et repères de lecture</w:t>
      </w:r>
    </w:p>
    <w:p>
      <w:pPr/>
      <w:r>
        <w:t>Références publiques consultées le 31 août 2026. Les outils de travail, consignes et données fictives sont des créations pédagogiques IEB ; ils ne constituent pas une norme ni une méthode professionnelle obligatoire.</w:t>
      </w:r>
    </w:p>
    <w:p>
      <w:pPr/>
      <w:r>
        <w:t>Repères IEB : IEB-A04-TOOL-EVIDENCE-CHAIN désigne la chaîne de preuve ; IEB-A04-TOOL-FSID la matrice Fait–Source–Impact–Décision ; IEB-A04-TOOL-SENSITIVITY les tests de sensibilité ; IEB-A04-TOOL-REPORT le gabarit du rapport. IEB-A04-SYNTHETIC-MARKET-001 renvoie au jeu fictif BELVEDERE-SYNTHETIC-MARKET-001.</w:t>
      </w:r>
    </w:p>
    <w:p>
      <w:pPr>
        <w:pStyle w:val="Heading2"/>
      </w:pPr>
      <w:r>
        <w:t>A04-SRC-001 | Vente immobilière : obligations de l'agent immobilier envers ses clients</w:t>
      </w:r>
    </w:p>
    <w:p>
      <w:pPr>
        <w:keepNext/>
      </w:pPr>
      <w:hyperlink r:id="rId11">
        <w:r>
          <w:rPr>
            <w:color w:val="185848"/>
            <w:u w:val="single"/>
          </w:rPr>
          <w:t>Consulter : Vente immobilière : obligations de l'agent immobilier envers ses clients</w:t>
        </w:r>
      </w:hyperlink>
    </w:p>
    <w:p>
      <w:pPr/>
      <w:r>
        <w:t>Repères : A04-C001, A04-C002, A04-C003, A04-C004.</w:t>
      </w:r>
    </w:p>
    <w:p>
      <w:pPr>
        <w:pStyle w:val="Heading2"/>
      </w:pPr>
      <w:r>
        <w:t>A04-SRC-002 | Code civil — article 1353</w:t>
      </w:r>
    </w:p>
    <w:p>
      <w:pPr>
        <w:keepNext/>
      </w:pPr>
      <w:hyperlink r:id="rId12">
        <w:r>
          <w:rPr>
            <w:color w:val="185848"/>
            <w:u w:val="single"/>
          </w:rPr>
          <w:t>Consulter : Code civil — article 1353</w:t>
        </w:r>
      </w:hyperlink>
    </w:p>
    <w:p>
      <w:pPr/>
      <w:r>
        <w:t>Repères : A04-C005, A04-C006.</w:t>
      </w:r>
    </w:p>
    <w:p>
      <w:pPr>
        <w:pStyle w:val="Heading2"/>
      </w:pPr>
      <w:r>
        <w:t>A04-SRC-003 | BOFiP — principes d'évaluation des immeubles pour l'IFI</w:t>
      </w:r>
    </w:p>
    <w:p>
      <w:pPr>
        <w:keepNext/>
      </w:pPr>
      <w:hyperlink r:id="rId13">
        <w:r>
          <w:rPr>
            <w:color w:val="185848"/>
            <w:u w:val="single"/>
          </w:rPr>
          <w:t>Consulter : BOFiP — principes d'évaluation des immeubles pour l'IFI</w:t>
        </w:r>
      </w:hyperlink>
    </w:p>
    <w:p>
      <w:pPr/>
      <w:r>
        <w:t>Repères : A04-C007, A04-C008, A04-C009.</w:t>
      </w:r>
    </w:p>
    <w:p>
      <w:pPr>
        <w:pStyle w:val="Heading2"/>
      </w:pPr>
      <w:r>
        <w:t>A04-SRC-004 | Demandes de valeurs foncières (DVF)</w:t>
      </w:r>
    </w:p>
    <w:p>
      <w:pPr>
        <w:keepNext/>
      </w:pPr>
      <w:hyperlink r:id="rId14">
        <w:r>
          <w:rPr>
            <w:color w:val="185848"/>
            <w:u w:val="single"/>
          </w:rPr>
          <w:t>Consulter : Demandes de valeurs foncières (DVF)</w:t>
        </w:r>
      </w:hyperlink>
    </w:p>
    <w:p>
      <w:pPr/>
      <w:r>
        <w:t>Repères : A04-C010, A04-C011, A04-C012, A04-C013.</w:t>
      </w:r>
    </w:p>
    <w:p>
      <w:pPr>
        <w:pStyle w:val="Heading2"/>
      </w:pPr>
      <w:r>
        <w:t>A04-SRC-005 | Indice des prix des logements anciens — documentation méthodologique</w:t>
      </w:r>
    </w:p>
    <w:p>
      <w:pPr>
        <w:keepNext/>
      </w:pPr>
      <w:hyperlink r:id="rId15">
        <w:r>
          <w:rPr>
            <w:color w:val="185848"/>
            <w:u w:val="single"/>
          </w:rPr>
          <w:t>Consulter : Indice des prix des logements anciens — documentation méthodologique</w:t>
        </w:r>
      </w:hyperlink>
    </w:p>
    <w:p>
      <w:pPr/>
      <w:r>
        <w:t>Repères : A04-C014, A04-C015, A04-C016.</w:t>
      </w:r>
    </w:p>
    <w:p>
      <w:pPr>
        <w:pStyle w:val="Heading2"/>
      </w:pPr>
      <w:r>
        <w:t>A04-SRC-006 | Comment consulter le cadastre ?</w:t>
      </w:r>
    </w:p>
    <w:p>
      <w:pPr>
        <w:keepNext/>
      </w:pPr>
      <w:hyperlink r:id="rId16">
        <w:r>
          <w:rPr>
            <w:color w:val="185848"/>
            <w:u w:val="single"/>
          </w:rPr>
          <w:t>Consulter : Comment consulter le cadastre ?</w:t>
        </w:r>
      </w:hyperlink>
    </w:p>
    <w:p>
      <w:pPr/>
      <w:r>
        <w:t>Repères : A04-C017, A04-C018, A04-C019.</w:t>
      </w:r>
    </w:p>
    <w:p>
      <w:pPr>
        <w:pStyle w:val="Heading2"/>
      </w:pPr>
      <w:r>
        <w:t>A04-SRC-007 | Géoportail de l'urbanisme — mode d'emploi</w:t>
      </w:r>
    </w:p>
    <w:p>
      <w:pPr>
        <w:keepNext/>
      </w:pPr>
      <w:hyperlink r:id="rId17">
        <w:r>
          <w:rPr>
            <w:color w:val="185848"/>
            <w:u w:val="single"/>
          </w:rPr>
          <w:t>Consulter : Géoportail de l'urbanisme — mode d'emploi</w:t>
        </w:r>
      </w:hyperlink>
    </w:p>
    <w:p>
      <w:pPr/>
      <w:r>
        <w:t>Repères : A04-C020, A04-C021, A04-C022.</w:t>
      </w:r>
    </w:p>
    <w:p>
      <w:pPr>
        <w:pStyle w:val="Heading2"/>
      </w:pPr>
      <w:r>
        <w:t>A04-SRC-008 | Diagnostics immobiliers à fournir en cas de vente d'un logement</w:t>
      </w:r>
    </w:p>
    <w:p>
      <w:pPr>
        <w:keepNext/>
      </w:pPr>
      <w:hyperlink r:id="rId18">
        <w:r>
          <w:rPr>
            <w:color w:val="185848"/>
            <w:u w:val="single"/>
          </w:rPr>
          <w:t>Consulter : Diagnostics immobiliers à fournir en cas de vente d'un logement</w:t>
        </w:r>
      </w:hyperlink>
    </w:p>
    <w:p>
      <w:pPr/>
      <w:r>
        <w:t>Repères : A04-C023, A04-C024, A04-C025.</w:t>
      </w:r>
    </w:p>
    <w:p>
      <w:pPr>
        <w:pStyle w:val="Heading2"/>
      </w:pPr>
      <w:r>
        <w:t>A04-SRC-009 | Information des acquéreurs et des locataires — état des risques</w:t>
      </w:r>
    </w:p>
    <w:p>
      <w:pPr>
        <w:keepNext/>
      </w:pPr>
      <w:hyperlink r:id="rId19">
        <w:r>
          <w:rPr>
            <w:color w:val="185848"/>
            <w:u w:val="single"/>
          </w:rPr>
          <w:t>Consulter : Information des acquéreurs et des locataires — état des risques</w:t>
        </w:r>
      </w:hyperlink>
    </w:p>
    <w:p>
      <w:pPr/>
      <w:r>
        <w:t>Repères : A04-C026, A04-C027, A04-C028.</w:t>
      </w:r>
    </w:p>
    <w:p>
      <w:pPr>
        <w:pStyle w:val="Heading2"/>
      </w:pPr>
      <w:r>
        <w:t>A04-SRC-010 | Vente d'un logement en copropriété</w:t>
      </w:r>
    </w:p>
    <w:p>
      <w:pPr>
        <w:keepNext/>
      </w:pPr>
      <w:hyperlink r:id="rId20">
        <w:r>
          <w:rPr>
            <w:color w:val="185848"/>
            <w:u w:val="single"/>
          </w:rPr>
          <w:t>Consulter : Vente d'un logement en copropriété</w:t>
        </w:r>
      </w:hyperlink>
    </w:p>
    <w:p>
      <w:pPr/>
      <w:r>
        <w:t>Repères : A04-C029, A04-C030, A04-C031, A04-C032.</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4615B"/>
        <w:sz w:val="16"/>
      </w:rPr>
      <w:t xml:space="preserve">A-04 | Carnet de mission | v0.1.0 | </w:t>
    </w:r>
    <w:fldSimple w:instr="PAGE"/>
    <w:r>
      <w:rPr>
        <w:color w:val="54615B"/>
        <w:sz w:val="16"/>
      </w:rPr>
      <w:t xml:space="preserve"> / </w:t>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9C4C15"/>
        <w:sz w:val="16"/>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ind w:left="540" w:hanging="271"/>
        <w:tabs>
          <w:tab w:val="num" w:pos="540"/>
        </w:tabs>
      </w:pPr>
    </w:lvl>
  </w:abstractNum>
  <w:abstractNum w:abstractNumId="1">
    <w:nsid w:val="FFFFFF7D"/>
    <w:multiLevelType w:val="singleLevel"/>
    <w:tmpl w:val="E4089024"/>
    <w:lvl w:ilvl="0">
      <w:start w:val="1"/>
      <w:numFmt w:val="decimal"/>
      <w:lvlText w:val="%1."/>
      <w:lvlJc w:val="left"/>
      <w:pPr>
        <w:ind w:left="540" w:hanging="271"/>
        <w:tabs>
          <w:tab w:val="num" w:pos="540"/>
        </w:tabs>
      </w:pPr>
    </w:lvl>
  </w:abstractNum>
  <w:abstractNum w:abstractNumId="2">
    <w:nsid w:val="FFFFFF7E"/>
    <w:multiLevelType w:val="singleLevel"/>
    <w:tmpl w:val="FB12693A"/>
    <w:lvl w:ilvl="0">
      <w:start w:val="1"/>
      <w:numFmt w:val="decimal"/>
      <w:pStyle w:val="ListNumber3"/>
      <w:lvlText w:val="%1."/>
      <w:lvlJc w:val="left"/>
      <w:pPr>
        <w:ind w:left="540" w:hanging="271"/>
        <w:tabs>
          <w:tab w:val="num" w:pos="540"/>
        </w:tabs>
      </w:pPr>
    </w:lvl>
  </w:abstractNum>
  <w:abstractNum w:abstractNumId="3">
    <w:nsid w:val="FFFFFF7F"/>
    <w:multiLevelType w:val="singleLevel"/>
    <w:tmpl w:val="38441652"/>
    <w:lvl w:ilvl="0">
      <w:start w:val="1"/>
      <w:numFmt w:val="decimal"/>
      <w:pStyle w:val="ListNumber2"/>
      <w:lvlText w:val="%1."/>
      <w:lvlJc w:val="left"/>
      <w:pPr>
        <w:ind w:left="540" w:hanging="271"/>
        <w:tabs>
          <w:tab w:val="num" w:pos="540"/>
        </w:tabs>
      </w:pPr>
    </w:lvl>
  </w:abstractNum>
  <w:abstractNum w:abstractNumId="4">
    <w:nsid w:val="FFFFFF81"/>
    <w:multiLevelType w:val="singleLevel"/>
    <w:tmpl w:val="171AC3A4"/>
    <w:lvl w:ilvl="0">
      <w:start w:val="1"/>
      <w:numFmt w:val="bullet"/>
      <w:lvlText w:val=""/>
      <w:lvlJc w:val="left"/>
      <w:pPr>
        <w:ind w:left="540" w:hanging="271"/>
        <w:tabs>
          <w:tab w:val="num" w:pos="540"/>
        </w:tabs>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ind w:left="540" w:hanging="271"/>
        <w:tabs>
          <w:tab w:val="num" w:pos="540"/>
        </w:tabs>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ind w:left="540" w:hanging="271"/>
        <w:tabs>
          <w:tab w:val="num" w:pos="540"/>
        </w:tabs>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ind w:left="540" w:hanging="271"/>
        <w:tabs>
          <w:tab w:val="num" w:pos="540"/>
        </w:tabs>
      </w:pPr>
    </w:lvl>
  </w:abstractNum>
  <w:abstractNum w:abstractNumId="8">
    <w:nsid w:val="FFFFFF89"/>
    <w:multiLevelType w:val="singleLevel"/>
    <w:tmpl w:val="29761A62"/>
    <w:lvl w:ilvl="0">
      <w:start w:val="1"/>
      <w:numFmt w:val="bullet"/>
      <w:pStyle w:val="ListBullet"/>
      <w:lvlText w:val=""/>
      <w:lvlJc w:val="left"/>
      <w:pPr>
        <w:ind w:left="540" w:hanging="271"/>
        <w:tabs>
          <w:tab w:val="num" w:pos="540"/>
        </w:tabs>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Calibri" w:hAnsi="Calibri"/>
      <w:color w:val="203E37"/>
      <w:sz w:val="22"/>
      <w:lang w:val="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300" w:lineRule="auto"/>
      <w:outlineLvl w:val="0"/>
    </w:pPr>
    <w:rPr>
      <w:rFonts w:asciiTheme="majorHAnsi" w:eastAsiaTheme="majorEastAsia" w:hAnsiTheme="majorHAnsi" w:cstheme="majorBidi" w:ascii="Calibri" w:hAnsi="Calibri"/>
      <w:b/>
      <w:bCs/>
      <w:color w:val="185848"/>
      <w:sz w:val="32"/>
      <w:szCs w:val="28"/>
      <w:lang w:val="fr-FR"/>
    </w:rPr>
  </w:style>
  <w:style w:type="paragraph" w:styleId="Heading2">
    <w:name w:val="heading 2"/>
    <w:basedOn w:val="Normal"/>
    <w:next w:val="Normal"/>
    <w:link w:val="Heading2Char"/>
    <w:uiPriority w:val="9"/>
    <w:unhideWhenUsed/>
    <w:qFormat/>
    <w:rsid w:val="00FC693F"/>
    <w:pPr>
      <w:keepNext/>
      <w:keepLines/>
      <w:widowControl/>
      <w:spacing w:before="280" w:after="140" w:line="300" w:lineRule="auto"/>
      <w:outlineLvl w:val="1"/>
    </w:pPr>
    <w:rPr>
      <w:rFonts w:asciiTheme="majorHAnsi" w:eastAsiaTheme="majorEastAsia" w:hAnsiTheme="majorHAnsi" w:cstheme="majorBidi" w:ascii="Calibri" w:hAnsi="Calibri"/>
      <w:b/>
      <w:bCs/>
      <w:color w:val="9C4C15"/>
      <w:sz w:val="26"/>
      <w:szCs w:val="26"/>
      <w:lang w:val="fr-FR"/>
    </w:rPr>
  </w:style>
  <w:style w:type="paragraph" w:styleId="Heading3">
    <w:name w:val="heading 3"/>
    <w:basedOn w:val="Normal"/>
    <w:next w:val="Normal"/>
    <w:link w:val="Heading3Char"/>
    <w:uiPriority w:val="9"/>
    <w:unhideWhenUsed/>
    <w:qFormat/>
    <w:rsid w:val="00FC693F"/>
    <w:pPr>
      <w:keepNext/>
      <w:keepLines/>
      <w:widowControl/>
      <w:spacing w:before="200" w:after="100" w:line="300" w:lineRule="auto"/>
      <w:outlineLvl w:val="2"/>
    </w:pPr>
    <w:rPr>
      <w:rFonts w:asciiTheme="majorHAnsi" w:eastAsiaTheme="majorEastAsia" w:hAnsiTheme="majorHAnsi" w:cstheme="majorBidi" w:ascii="Calibri" w:hAnsi="Calibri"/>
      <w:b/>
      <w:bCs/>
      <w:color w:val="185848"/>
      <w:sz w:val="24"/>
      <w:lang w:val="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pBdr>
        <w:bottom w:val="single" w:sz="8" w:space="4" w:color="4F81BD" w:themeColor="accent1"/>
      </w:pBdr>
      <w:spacing w:after="160" w:line="300" w:lineRule="auto" w:before="0"/>
      <w:contextualSpacing/>
    </w:pPr>
    <w:rPr>
      <w:rFonts w:asciiTheme="majorHAnsi" w:eastAsiaTheme="majorEastAsia" w:hAnsiTheme="majorHAnsi" w:cstheme="majorBidi" w:ascii="Calibri" w:hAnsi="Calibri"/>
      <w:color w:val="185848"/>
      <w:spacing w:val="5"/>
      <w:kern w:val="28"/>
      <w:sz w:val="52"/>
      <w:szCs w:val="52"/>
      <w:lang w:val="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80" w:line="300" w:lineRule="auto"/>
      <w:ind w:left="540" w:hanging="271"/>
      <w:contextualSpacing/>
    </w:pPr>
    <w:rPr>
      <w:rFonts w:ascii="Calibri" w:hAnsi="Calibri"/>
      <w:color w:val="203E37"/>
      <w:sz w:val="22"/>
      <w:lang w:val="fr-FR"/>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300" w:lineRule="auto" w:before="80" w:after="80"/>
    </w:pPr>
    <w:rPr>
      <w:rFonts w:ascii="Calibri" w:hAnsi="Calibri"/>
      <w:b/>
      <w:bCs/>
      <w:color w:val="54615B"/>
      <w:sz w:val="18"/>
      <w:szCs w:val="18"/>
      <w:lang w:val="fr-FR"/>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service-public.gouv.fr/particuliers/vosdroits/F2954" TargetMode="External"/><Relationship Id="rId12" Type="http://schemas.openxmlformats.org/officeDocument/2006/relationships/hyperlink" Target="https://www.legifrance.gouv.fr/codes/article_lc/LEGIARTI000032042341" TargetMode="External"/><Relationship Id="rId13" Type="http://schemas.openxmlformats.org/officeDocument/2006/relationships/hyperlink" Target="https://bofip.impots.gouv.fr/bofip/11356-PGP.html/identifiant=BOI-PAT-IFI-20-30-10-20180608" TargetMode="External"/><Relationship Id="rId14" Type="http://schemas.openxmlformats.org/officeDocument/2006/relationships/hyperlink" Target="https://www.data.gouv.fr/datasets/demandes-de-valeurs-foncieres" TargetMode="External"/><Relationship Id="rId15" Type="http://schemas.openxmlformats.org/officeDocument/2006/relationships/hyperlink" Target="https://www.insee.fr/fr/metadonnees/source/indicateur/p1643/documentation-methodologique" TargetMode="External"/><Relationship Id="rId16" Type="http://schemas.openxmlformats.org/officeDocument/2006/relationships/hyperlink" Target="https://www.service-public.gouv.fr/particuliers/vosdroits/F14226" TargetMode="External"/><Relationship Id="rId17" Type="http://schemas.openxmlformats.org/officeDocument/2006/relationships/hyperlink" Target="https://www.ecologie.gouv.fr/politiques-publiques/geoportail-lurbanisme-mode-demploi" TargetMode="External"/><Relationship Id="rId18" Type="http://schemas.openxmlformats.org/officeDocument/2006/relationships/hyperlink" Target="https://www.service-public.gouv.fr/particuliers/vosdroits/F10798" TargetMode="External"/><Relationship Id="rId19" Type="http://schemas.openxmlformats.org/officeDocument/2006/relationships/hyperlink" Target="https://www.georisques.gouv.fr/information-des-acquereurs-et-locataires" TargetMode="External"/><Relationship Id="rId20" Type="http://schemas.openxmlformats.org/officeDocument/2006/relationships/hyperlink" Target="https://www.service-public.gouv.fr/particuliers/vosdroits/F2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mission</dc:title>
  <dc:subject>A-04 Expertise immobilière</dc:subject>
  <dc:creator>Institut de l'Expertise en Bâtiment</dc:creator>
  <cp:keywords>A-04, expertise immobilière, scénario synthétique, pédagogie</cp:keywords>
  <dc:description/>
  <cp:lastModifiedBy>Institut de l'Expertise en Bâtiment</cp:lastModifiedBy>
  <cp:revision>1</cp:revision>
  <dcterms:created xsi:type="dcterms:W3CDTF">2013-12-23T23:15:00Z</dcterms:created>
  <dcterms:modified xsi:type="dcterms:W3CDTF">2013-12-23T23:15:00Z</dcterms:modified>
  <cp:category/>
  <dc:language>fr-FR</dc:language>
</cp:coreProperties>
</file>